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 xml:space="preserve">Stan na dzień sporządzenia prospektu informacyjnego </w:t>
      </w:r>
    </w:p>
    <w:p>
      <w:pPr>
        <w:pStyle w:val="Normal"/>
        <w:widowControl w:val="false"/>
        <w:spacing w:lineRule="auto" w:line="360" w:before="0" w:after="0"/>
        <w:ind w:left="6379"/>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Data </w:t>
      </w:r>
    </w:p>
    <w:p>
      <w:pPr>
        <w:pStyle w:val="Normal"/>
        <w:widowControl w:val="false"/>
        <w:spacing w:lineRule="auto" w:line="360" w:before="0" w:after="0"/>
        <w:ind w:left="6379"/>
        <w:rPr/>
      </w:pPr>
      <w:r>
        <w:rPr>
          <w:rFonts w:eastAsia="Times New Roman" w:cs="Times New Roman" w:ascii="Times New Roman" w:hAnsi="Times New Roman"/>
          <w:color w:val="000000"/>
          <w:sz w:val="20"/>
          <w:szCs w:val="20"/>
          <w:shd w:fill="FFFF00" w:val="clear"/>
        </w:rPr>
        <w:t xml:space="preserve">sporządzenia </w:t>
      </w:r>
      <w:r>
        <w:rPr>
          <w:rFonts w:eastAsia="Times New Roman" w:cs="Times New Roman" w:ascii="Times New Roman" w:hAnsi="Times New Roman"/>
          <w:sz w:val="20"/>
          <w:szCs w:val="20"/>
          <w:shd w:fill="FFFF00" w:val="clear"/>
        </w:rPr>
        <w:t xml:space="preserve">prospektu: </w:t>
      </w:r>
    </w:p>
    <w:p>
      <w:pPr>
        <w:pStyle w:val="Normal"/>
        <w:numPr>
          <w:ilvl w:val="0"/>
          <w:numId w:val="0"/>
        </w:numPr>
        <w:spacing w:lineRule="auto" w:line="240" w:before="60" w:after="60"/>
        <w:ind w:hanging="0" w:left="0"/>
        <w:jc w:val="center"/>
        <w:outlineLvl w:val="0"/>
        <w:rPr>
          <w:rFonts w:ascii="Times New Roman" w:hAnsi="Times New Roman" w:eastAsia="Calibri" w:cs="Times New Roman"/>
          <w:b/>
          <w:sz w:val="20"/>
          <w:szCs w:val="20"/>
        </w:rPr>
      </w:pPr>
      <w:r>
        <w:rPr>
          <w:rFonts w:eastAsia="Calibri" w:cs="Times New Roman" w:ascii="Times New Roman" w:hAnsi="Times New Roman"/>
          <w:b/>
          <w:sz w:val="20"/>
          <w:szCs w:val="20"/>
        </w:rPr>
      </w:r>
    </w:p>
    <w:p>
      <w:pPr>
        <w:pStyle w:val="Normal"/>
        <w:numPr>
          <w:ilvl w:val="0"/>
          <w:numId w:val="0"/>
        </w:numPr>
        <w:spacing w:lineRule="auto" w:line="240" w:before="144" w:after="144"/>
        <w:ind w:hanging="0" w:left="0"/>
        <w:jc w:val="center"/>
        <w:outlineLvl w:val="0"/>
        <w:rPr>
          <w:rFonts w:ascii="Times New Roman" w:hAnsi="Times New Roman" w:eastAsia="Calibri" w:cs="Times New Roman"/>
          <w:b/>
          <w:sz w:val="20"/>
          <w:szCs w:val="20"/>
        </w:rPr>
      </w:pPr>
      <w:r>
        <w:rPr>
          <w:rFonts w:eastAsia="Calibri" w:cs="Times New Roman" w:ascii="Times New Roman" w:hAnsi="Times New Roman"/>
          <w:b/>
          <w:sz w:val="20"/>
          <w:szCs w:val="20"/>
        </w:rPr>
        <w:t xml:space="preserve">PROSPEKT INFORMACYJNY </w:t>
      </w:r>
    </w:p>
    <w:p>
      <w:pPr>
        <w:pStyle w:val="Normal"/>
        <w:numPr>
          <w:ilvl w:val="0"/>
          <w:numId w:val="0"/>
        </w:numPr>
        <w:spacing w:lineRule="auto" w:line="240" w:before="60" w:after="60"/>
        <w:ind w:hanging="0" w:left="0"/>
        <w:jc w:val="center"/>
        <w:outlineLvl w:val="0"/>
        <w:rPr>
          <w:rFonts w:ascii="Times New Roman" w:hAnsi="Times New Roman" w:eastAsia="Calibri" w:cs="Times New Roman"/>
          <w:b/>
          <w:sz w:val="20"/>
          <w:szCs w:val="20"/>
        </w:rPr>
      </w:pPr>
      <w:r>
        <w:rPr>
          <w:rFonts w:eastAsia="Calibri" w:cs="Times New Roman" w:ascii="Times New Roman" w:hAnsi="Times New Roman"/>
          <w:b/>
          <w:sz w:val="20"/>
          <w:szCs w:val="20"/>
        </w:rPr>
      </w:r>
    </w:p>
    <w:p>
      <w:pPr>
        <w:pStyle w:val="Normal"/>
        <w:numPr>
          <w:ilvl w:val="0"/>
          <w:numId w:val="0"/>
        </w:numPr>
        <w:spacing w:lineRule="auto" w:line="240" w:before="144" w:after="144"/>
        <w:ind w:hanging="0" w:left="0"/>
        <w:outlineLvl w:val="0"/>
        <w:rPr>
          <w:rFonts w:ascii="Times New Roman" w:hAnsi="Times New Roman" w:eastAsia="Calibri" w:cs="Times New Roman"/>
          <w:b/>
          <w:sz w:val="20"/>
          <w:szCs w:val="20"/>
        </w:rPr>
      </w:pPr>
      <w:r>
        <w:rPr>
          <w:rFonts w:eastAsia="Calibri" w:cs="Times New Roman" w:ascii="Times New Roman" w:hAnsi="Times New Roman"/>
          <w:b/>
          <w:sz w:val="20"/>
          <w:szCs w:val="20"/>
        </w:rPr>
        <w:t>CZĘŚĆ OGÓLNA</w:t>
      </w:r>
    </w:p>
    <w:p>
      <w:pPr>
        <w:pStyle w:val="Normal"/>
        <w:numPr>
          <w:ilvl w:val="0"/>
          <w:numId w:val="0"/>
        </w:numPr>
        <w:spacing w:lineRule="auto" w:line="240" w:before="0" w:after="0"/>
        <w:ind w:hanging="0" w:left="0"/>
        <w:outlineLvl w:val="0"/>
        <w:rPr>
          <w:rFonts w:ascii="Times New Roman" w:hAnsi="Times New Roman" w:eastAsia="Calibri" w:cs="Times New Roman"/>
          <w:b/>
          <w:sz w:val="20"/>
          <w:szCs w:val="20"/>
        </w:rPr>
      </w:pPr>
      <w:r>
        <w:rPr>
          <w:rFonts w:eastAsia="Calibri" w:cs="Times New Roman" w:ascii="Times New Roman" w:hAnsi="Times New Roman"/>
          <w:b/>
          <w:sz w:val="20"/>
          <w:szCs w:val="20"/>
        </w:rPr>
      </w:r>
    </w:p>
    <w:p>
      <w:pPr>
        <w:pStyle w:val="Normal"/>
        <w:widowControl w:val="false"/>
        <w:numPr>
          <w:ilvl w:val="0"/>
          <w:numId w:val="1"/>
        </w:numPr>
        <w:spacing w:lineRule="auto" w:line="240" w:before="0" w:afterAutospacing="1"/>
        <w:ind w:hanging="720" w:left="1077"/>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DANE IDENTYFIKACYJNE I KONTAKTOWE DOTYCZĄCE DEWELOPERA</w:t>
      </w:r>
    </w:p>
    <w:tbl>
      <w:tblPr>
        <w:tblpPr w:vertAnchor="text" w:horzAnchor="margin" w:leftFromText="141" w:rightFromText="141" w:tblpX="0" w:tblpY="50"/>
        <w:tblW w:w="9648"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2987"/>
        <w:gridCol w:w="3234"/>
        <w:gridCol w:w="3427"/>
      </w:tblGrid>
      <w:tr>
        <w:trPr/>
        <w:tc>
          <w:tcPr>
            <w:tcW w:w="9648" w:type="dxa"/>
            <w:gridSpan w:val="3"/>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DANE DEWELOPERA</w:t>
            </w:r>
          </w:p>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r>
          </w:p>
        </w:tc>
      </w:tr>
      <w:tr>
        <w:trPr>
          <w:trHeight w:val="375" w:hRule="atLeast"/>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Deweloper</w:t>
            </w:r>
          </w:p>
        </w:tc>
        <w:tc>
          <w:tcPr>
            <w:tcW w:w="666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br/>
              <w:t>Element Modlnica sp. z o.o., KRS: 0001186815</w:t>
            </w:r>
          </w:p>
        </w:tc>
      </w:tr>
      <w:tr>
        <w:trPr>
          <w:trHeight w:val="1327" w:hRule="atLeast"/>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w:t>
            </w:r>
          </w:p>
        </w:tc>
        <w:tc>
          <w:tcPr>
            <w:tcW w:w="666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ul. MARII SKŁODOWSKIEJ-CURIE nr. 5 lok. 3 miejsc. KRAKÓW kod 31-025 poczta KRAKÓW kraj POLSKA</w:t>
            </w:r>
          </w:p>
        </w:tc>
      </w:tr>
      <w:tr>
        <w:trPr>
          <w:trHeight w:val="188" w:hRule="atLeast"/>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Numer NIP REGON</w:t>
            </w:r>
          </w:p>
        </w:tc>
        <w:tc>
          <w:tcPr>
            <w:tcW w:w="32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6762700070</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54246478300000</w:t>
            </w:r>
          </w:p>
        </w:tc>
      </w:tr>
      <w:tr>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Numer telefonu</w:t>
            </w:r>
          </w:p>
        </w:tc>
        <w:tc>
          <w:tcPr>
            <w:tcW w:w="666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z w:val="20"/>
                <w:szCs w:val="20"/>
                <w:shd w:fill="auto" w:val="clear"/>
              </w:rPr>
              <w:t>+48 690 453 656</w:t>
            </w:r>
          </w:p>
        </w:tc>
      </w:tr>
      <w:tr>
        <w:trPr>
          <w:trHeight w:val="272" w:hRule="atLeast"/>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 poczty elektronicznej</w:t>
            </w:r>
          </w:p>
        </w:tc>
        <w:tc>
          <w:tcPr>
            <w:tcW w:w="666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z w:val="20"/>
                <w:szCs w:val="20"/>
                <w:shd w:fill="auto" w:val="clear"/>
              </w:rPr>
              <w:t>zamieszkaj@bukowa.info</w:t>
            </w:r>
          </w:p>
        </w:tc>
      </w:tr>
      <w:tr>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Numer faksu</w:t>
            </w:r>
          </w:p>
        </w:tc>
        <w:tc>
          <w:tcPr>
            <w:tcW w:w="666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p>
        </w:tc>
      </w:tr>
      <w:tr>
        <w:trPr>
          <w:trHeight w:val="218" w:hRule="atLeast"/>
        </w:trPr>
        <w:tc>
          <w:tcPr>
            <w:tcW w:w="298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 strony internetowej dewelopera</w:t>
            </w:r>
          </w:p>
        </w:tc>
        <w:tc>
          <w:tcPr>
            <w:tcW w:w="666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z w:val="20"/>
                <w:szCs w:val="20"/>
                <w:shd w:fill="auto" w:val="clear"/>
              </w:rPr>
              <w:t>https://bukowa.info</w:t>
            </w:r>
          </w:p>
        </w:tc>
      </w:tr>
    </w:tbl>
    <w:p>
      <w:pPr>
        <w:pStyle w:val="Normal"/>
        <w:widowControl w:val="false"/>
        <w:numPr>
          <w:ilvl w:val="0"/>
          <w:numId w:val="1"/>
        </w:numPr>
        <w:spacing w:lineRule="auto" w:line="240" w:before="240" w:afterAutospacing="1"/>
        <w:ind w:hanging="720" w:left="1077"/>
        <w:jc w:val="both"/>
        <w:rPr>
          <w:rFonts w:ascii="Times New Roman" w:hAnsi="Times New Roman" w:eastAsia="Times New Roman" w:cs="Times New Roman"/>
          <w:b/>
          <w:sz w:val="20"/>
          <w:szCs w:val="20"/>
        </w:rPr>
      </w:pPr>
      <w:r/>
      <w:r>
        <w:rPr>
          <w:rFonts w:eastAsia="Times New Roman" w:cs="Times New Roman" w:ascii="Times New Roman" w:hAnsi="Times New Roman"/>
          <w:b/>
          <w:sz w:val="20"/>
          <w:szCs w:val="20"/>
        </w:rPr>
        <w:t>DOŚWIADCZENIE DEWELOPERA</w:t>
      </w:r>
    </w:p>
    <w:tbl>
      <w:tblPr>
        <w:tblpPr w:vertAnchor="text" w:horzAnchor="margin" w:leftFromText="141" w:rightFromText="141" w:tblpX="0" w:tblpY="55"/>
        <w:tblW w:w="9648"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9648"/>
      </w:tblGrid>
      <w:tr>
        <w:trPr>
          <w:trHeight w:val="704" w:hRule="atLeast"/>
        </w:trPr>
        <w:tc>
          <w:tcPr>
            <w:tcW w:w="9648" w:type="dxa"/>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HISTORIA I UDOKUMENTOWANE DOŚWIADCZENIE DEWELOPERA</w:t>
            </w:r>
          </w:p>
        </w:tc>
      </w:tr>
    </w:tbl>
    <w:p>
      <w:pPr>
        <w:pStyle w:val="Normal"/>
        <w:rPr/>
      </w:pPr>
      <w:r>
        <w:rPr/>
      </w:r>
    </w:p>
    <w:tbl>
      <w:tblPr>
        <w:tblW w:w="964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2813"/>
        <w:gridCol w:w="6834"/>
      </w:tblGrid>
      <w:tr>
        <w:trPr/>
        <w:tc>
          <w:tcPr>
            <w:tcW w:w="9647" w:type="dxa"/>
            <w:gridSpan w:val="2"/>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PRZYKŁAD UKOŃCZONEGO PRZEDSIĘWZIĘCIA DEWELOPERSKIEGO (należy wskazać, o ile istnieją, trzy ukończone przedsięwzięcia deweloperskie, w tym ostatnie)</w:t>
            </w:r>
          </w:p>
        </w:tc>
      </w:tr>
      <w:tr>
        <w:trPr>
          <w:trHeight w:val="135" w:hRule="atLeast"/>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Calibri" w:cs="Times New Roman"/>
                <w:sz w:val="18"/>
              </w:rPr>
              <w:t>Kraków ul. Wodzinowskiego, działka o numerze ewidencyjnym 387/3, obręb 41, jednostka ewidencyjna Krowodrza</w:t>
            </w:r>
          </w:p>
        </w:tc>
      </w:tr>
      <w:tr>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rozpoczęcia</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23.06.2022</w:t>
            </w:r>
          </w:p>
        </w:tc>
      </w:tr>
      <w:tr>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wydania decyzji o pozwoleniu na użytkowanie</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20.09.2024</w:t>
            </w:r>
          </w:p>
        </w:tc>
      </w:tr>
      <w:tr>
        <w:trPr/>
        <w:tc>
          <w:tcPr>
            <w:tcW w:w="9647" w:type="dxa"/>
            <w:gridSpan w:val="2"/>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PRZYKŁAD INNEGO UKOŃCZONEGO PRZEDSIĘWZIĘCIA DEWELOPERSKIEGO</w:t>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rHeight w:val="135" w:hRule="atLeast"/>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ul. Sołtysowska, Kraków Nr działki ewidencyjnej 391/4, 391/7 Obręb 0054 Nowa Huta</w:t>
            </w:r>
          </w:p>
        </w:tc>
      </w:tr>
      <w:tr>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rozpoczęcia</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12.12.2023</w:t>
            </w:r>
          </w:p>
        </w:tc>
      </w:tr>
      <w:tr>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wydania decyzji o pozwoleniu na użytkowanie</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647" w:type="dxa"/>
            <w:gridSpan w:val="2"/>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Autospacing="1" w:afterAutospacing="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PRZYKŁAD OSTATNIEGO UKOŃCZONEGO PRZEDSIĘWZIĘCIA DEWELOPERSKIEGO</w:t>
            </w:r>
          </w:p>
          <w:p>
            <w:pPr>
              <w:pStyle w:val="Normal"/>
              <w:spacing w:lineRule="auto" w:line="240" w:beforeAutospacing="1" w:after="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rHeight w:val="135" w:hRule="atLeast"/>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Piaszczysta” Adres: ul. Piaszczysta 20, 31-226 Kraków</w:t>
            </w:r>
          </w:p>
        </w:tc>
      </w:tr>
      <w:tr>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rozpoczęcia</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marzec 2019 r.</w:t>
            </w:r>
          </w:p>
        </w:tc>
      </w:tr>
      <w:tr>
        <w:trPr/>
        <w:tc>
          <w:tcPr>
            <w:tcW w:w="2813"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wydania decyzji o pozwoleniu na użytkowanie</w:t>
            </w:r>
          </w:p>
        </w:tc>
        <w:tc>
          <w:tcPr>
            <w:tcW w:w="683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wrzesień 2020 r.</w:t>
            </w:r>
          </w:p>
        </w:tc>
      </w:tr>
    </w:tbl>
    <w:p>
      <w:pPr>
        <w:pStyle w:val="Normal"/>
        <w:spacing w:lineRule="auto" w:line="240" w:before="144" w:after="144"/>
        <w:jc w:val="both"/>
        <w:rPr>
          <w:rFonts w:ascii="Times New Roman" w:hAnsi="Times New Roman" w:eastAsia="Times New Roman" w:cs="Times New Roman"/>
          <w:b/>
          <w:bCs/>
          <w:sz w:val="16"/>
          <w:szCs w:val="20"/>
        </w:rPr>
      </w:pPr>
      <w:r>
        <w:rPr>
          <w:rFonts w:eastAsia="Times New Roman" w:cs="Times New Roman" w:ascii="Times New Roman" w:hAnsi="Times New Roman"/>
          <w:b/>
          <w:bCs/>
          <w:sz w:val="16"/>
          <w:szCs w:val="20"/>
        </w:rPr>
      </w:r>
    </w:p>
    <w:tbl>
      <w:tblPr>
        <w:tblW w:w="964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2807"/>
        <w:gridCol w:w="6840"/>
      </w:tblGrid>
      <w:tr>
        <w:trPr/>
        <w:tc>
          <w:tcPr>
            <w:tcW w:w="2807"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Czy przeciwko deweloperowi prowadzono lub prowadzi się postępowania egzekucyjne na kwotę powyżej 100 000 zł</w:t>
            </w:r>
          </w:p>
        </w:tc>
        <w:tc>
          <w:tcPr>
            <w:tcW w:w="6840"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bCs/>
                <w:sz w:val="20"/>
                <w:szCs w:val="20"/>
              </w:rPr>
            </w:pPr>
            <w:r>
              <w:rPr>
                <w:rFonts w:eastAsia="Times New Roman" w:cs="Times New Roman" w:ascii="Times New Roman" w:hAnsi="Times New Roman"/>
                <w:bCs/>
                <w:sz w:val="20"/>
                <w:szCs w:val="20"/>
              </w:rPr>
              <w:t>Przeciwko deweloperowi nie toczyły się i nie toczą żadne postępowania egzekucyjne.</w:t>
            </w:r>
          </w:p>
        </w:tc>
      </w:tr>
    </w:tbl>
    <w:p>
      <w:pPr>
        <w:pStyle w:val="Normal"/>
        <w:spacing w:lineRule="auto" w:line="240" w:before="144" w:after="0"/>
        <w:jc w:val="both"/>
        <w:rPr>
          <w:rFonts w:ascii="Times New Roman" w:hAnsi="Times New Roman" w:eastAsia="Times New Roman" w:cs="Times New Roman"/>
          <w:b/>
          <w:bCs/>
          <w:sz w:val="16"/>
          <w:szCs w:val="20"/>
        </w:rPr>
      </w:pPr>
      <w:r>
        <w:rPr>
          <w:rFonts w:eastAsia="Times New Roman" w:cs="Times New Roman" w:ascii="Times New Roman" w:hAnsi="Times New Roman"/>
          <w:b/>
          <w:bCs/>
          <w:sz w:val="16"/>
          <w:szCs w:val="20"/>
        </w:rPr>
      </w:r>
    </w:p>
    <w:p>
      <w:pPr>
        <w:pStyle w:val="Normal"/>
        <w:widowControl w:val="false"/>
        <w:numPr>
          <w:ilvl w:val="0"/>
          <w:numId w:val="2"/>
        </w:numPr>
        <w:spacing w:lineRule="auto" w:line="240" w:beforeAutospacing="1" w:after="120"/>
        <w:ind w:hanging="720" w:left="1077"/>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INFORMACJE DOTYCZĄCE NIERUCHOMOŚCI I PRZEDSIĘWZIĘCIA DEWELOPERSKIEGO</w:t>
      </w:r>
    </w:p>
    <w:tbl>
      <w:tblPr>
        <w:tblW w:w="964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2810"/>
        <w:gridCol w:w="3411"/>
        <w:gridCol w:w="3427"/>
      </w:tblGrid>
      <w:tr>
        <w:trPr/>
        <w:tc>
          <w:tcPr>
            <w:tcW w:w="9648" w:type="dxa"/>
            <w:gridSpan w:val="3"/>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144" w:after="144"/>
              <w:rPr>
                <w:rFonts w:ascii="Times New Roman" w:hAnsi="Times New Roman" w:eastAsia="Times New Roman" w:cs="Times New Roman"/>
                <w:b/>
                <w:sz w:val="20"/>
                <w:szCs w:val="20"/>
              </w:rPr>
            </w:pPr>
            <w:r>
              <w:rPr>
                <w:rFonts w:eastAsia="Times New Roman" w:cs="Times New Roman" w:ascii="Times New Roman" w:hAnsi="Times New Roman"/>
                <w:b/>
                <w:sz w:val="20"/>
                <w:szCs w:val="20"/>
              </w:rPr>
              <w:t>INFORMACJE DOTYCZĄCE GRUNTU I ZAGOSPODAROWANIA PRZESTRZENNEGO TERENU</w:t>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rHeight w:val="135"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Adres i numer działki ewidencyjnej i obrębu</w:t>
            </w:r>
            <w:r>
              <w:rPr>
                <w:rStyle w:val="FootnoteReference"/>
                <w:rFonts w:eastAsia="Times New Roman" w:cs="Times New Roman" w:ascii="Times New Roman" w:hAnsi="Times New Roman"/>
                <w:sz w:val="20"/>
                <w:szCs w:val="20"/>
                <w:vertAlign w:val="superscript"/>
              </w:rPr>
              <w:footnoteReference w:customMarkFollows="1" w:id="2"/>
              <w:t>1)</w:t>
            </w:r>
            <w:r>
              <w:rPr>
                <w:rFonts w:eastAsia="Times New Roman" w:cs="Times New Roman" w:ascii="Times New Roman" w:hAnsi="Times New Roman"/>
                <w:sz w:val="20"/>
                <w:szCs w:val="20"/>
                <w:vertAlign w:val="superscript"/>
              </w:rPr>
              <w:t>1)1)1)1)1)1)1)1)1)1)1)</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sz w:val="20"/>
                <w:szCs w:val="20"/>
              </w:rPr>
            </w:pPr>
            <w:r>
              <w:rPr>
                <w:rFonts w:eastAsia="Times New Roman" w:cs="Times New Roman" w:ascii="Times New Roman" w:hAnsi="Times New Roman"/>
                <w:sz w:val="20"/>
                <w:szCs w:val="20"/>
              </w:rPr>
              <w:t>Dz. nr 515/3, 515/4, 515/5,  obr. 0006 Modlnica, jedn. Ewid. 120615_2Wielka Wieś.</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98"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Numer księgi wieczystej</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515/5 -  KR1P/00283764/5</w:t>
            </w:r>
          </w:p>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515/4 -  KR1P/00361998/5</w:t>
            </w:r>
          </w:p>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t>515/3 -  KR1P/00361997/8</w:t>
            </w:r>
          </w:p>
          <w:p>
            <w:pPr>
              <w:pStyle w:val="Normal"/>
              <w:spacing w:lineRule="auto" w:line="240" w:before="144" w:after="144"/>
              <w:jc w:val="both"/>
              <w:rPr>
                <w:rFonts w:ascii="Times New Roman" w:hAnsi="Times New Roman" w:eastAsia="Times New Roman" w:cs="Times New Roman"/>
                <w:b/>
                <w:bCs/>
                <w:sz w:val="20"/>
                <w:szCs w:val="20"/>
              </w:rPr>
            </w:pPr>
            <w:r>
              <w:rPr>
                <w:rFonts w:eastAsia="Times New Roman" w:cs="Times New Roman" w:ascii="Times New Roman" w:hAnsi="Times New Roman"/>
                <w:b/>
                <w:bCs/>
                <w:sz w:val="20"/>
                <w:szCs w:val="20"/>
              </w:rPr>
            </w:r>
          </w:p>
        </w:tc>
      </w:tr>
      <w:tr>
        <w:trPr>
          <w:trHeight w:val="98"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Istniejące obciążenia hipoteczne nieruchomości lub wnioski o wpis w dziale czwartym księgi wieczystej</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Brak wpisów</w:t>
            </w:r>
          </w:p>
        </w:tc>
      </w:tr>
      <w:tr>
        <w:trPr>
          <w:trHeight w:val="97"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 przypadku braku księgi wieczystej informacja o powierzchni działki i stanie prawnym nieruchomości</w:t>
            </w:r>
            <w:r>
              <w:rPr>
                <w:rStyle w:val="FootnoteReference"/>
                <w:rFonts w:eastAsia="Times New Roman" w:cs="Times New Roman" w:ascii="Times New Roman" w:hAnsi="Times New Roman"/>
                <w:sz w:val="20"/>
                <w:szCs w:val="20"/>
                <w:vertAlign w:val="superscript"/>
              </w:rPr>
              <w:footnoteReference w:customMarkFollows="1" w:id="3"/>
              <w:t>2)</w:t>
            </w:r>
            <w:r>
              <w:rPr>
                <w:rFonts w:eastAsia="Times New Roman" w:cs="Times New Roman" w:ascii="Times New Roman" w:hAnsi="Times New Roman"/>
                <w:sz w:val="20"/>
                <w:szCs w:val="20"/>
                <w:vertAlign w:val="superscript"/>
              </w:rPr>
              <w:t>2)2)2)2)2)2)2)2)2)2)2)</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97"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rPr>
              <w:t>Informacje dotyczące obiektów istniejących położonych w sąsiedztwie inwestycji i wpływających na warunki życia</w:t>
            </w:r>
            <w:r>
              <w:rPr>
                <w:rStyle w:val="FootnoteReference"/>
                <w:rFonts w:eastAsia="Times New Roman" w:cs="Times New Roman" w:ascii="Times New Roman" w:hAnsi="Times New Roman"/>
                <w:sz w:val="20"/>
                <w:szCs w:val="20"/>
                <w:vertAlign w:val="superscript"/>
              </w:rPr>
              <w:footnoteReference w:customMarkFollows="1" w:id="4"/>
              <w:t>3)</w:t>
            </w:r>
            <w:r>
              <w:rPr>
                <w:rFonts w:eastAsia="Times New Roman" w:cs="Times New Roman" w:ascii="Times New Roman" w:hAnsi="Times New Roman"/>
                <w:sz w:val="20"/>
                <w:szCs w:val="20"/>
                <w:vertAlign w:val="superscript"/>
              </w:rPr>
              <w:t>3)3)3)3)3)3)3)3)3)3)3)</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ListParagraph"/>
              <w:numPr>
                <w:ilvl w:val="0"/>
                <w:numId w:val="6"/>
              </w:numPr>
              <w:spacing w:lineRule="auto" w:line="240" w:before="144" w:after="144"/>
              <w:contextualSpacing/>
              <w:jc w:val="both"/>
              <w:rPr>
                <w:rFonts w:cs="Times New Roman"/>
                <w:sz w:val="20"/>
              </w:rPr>
            </w:pPr>
            <w:r>
              <w:rPr>
                <w:rFonts w:cs="Times New Roman"/>
                <w:sz w:val="20"/>
              </w:rPr>
              <w:t>Od strony północnej, zachodniej i wschodniej w bezpośrednim sąsiedztwie przedmiotowej inwestycji znajduje się zabudowa mieszkalna jednorodzinna lub niezabudowane działki o przeznaczeniu w miejscowym planie zagospodarowania przestrzennego pod zabudowę jednorodzinną</w:t>
            </w:r>
          </w:p>
          <w:p>
            <w:pPr>
              <w:pStyle w:val="ListParagraph"/>
              <w:numPr>
                <w:ilvl w:val="0"/>
                <w:numId w:val="6"/>
              </w:numPr>
              <w:spacing w:lineRule="auto" w:line="240" w:before="144" w:after="144"/>
              <w:contextualSpacing/>
              <w:jc w:val="both"/>
              <w:rPr>
                <w:rFonts w:cs="Times New Roman"/>
                <w:sz w:val="20"/>
              </w:rPr>
            </w:pPr>
            <w:r>
              <w:rPr>
                <w:rFonts w:cs="Times New Roman"/>
                <w:sz w:val="20"/>
              </w:rPr>
              <w:t>Od strony południowej w bezpośrednim sąsiedztwie przedmiotowej inwestycji mieszkaniowej znajduje się ulica Bukowa, o niskim wpływie hałasu na lokalizację przedmiotowej inwestycji mieszkaniowej.</w:t>
            </w:r>
          </w:p>
          <w:p>
            <w:pPr>
              <w:pStyle w:val="ListParagraph"/>
              <w:numPr>
                <w:ilvl w:val="0"/>
                <w:numId w:val="6"/>
              </w:numPr>
              <w:spacing w:lineRule="auto" w:line="240" w:before="144" w:after="144"/>
              <w:contextualSpacing/>
              <w:jc w:val="both"/>
              <w:rPr>
                <w:rFonts w:cs="Times New Roman"/>
                <w:sz w:val="20"/>
              </w:rPr>
            </w:pPr>
            <w:r>
              <w:rPr>
                <w:rFonts w:cs="Times New Roman"/>
                <w:sz w:val="20"/>
              </w:rPr>
              <w:t>Od strony południowej ok. 300m od Inwestycji znajduje się droga ekspresowa S52 o średnim wpływie hałasu na lokalizację przedmiotowej inwestycji.</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Wszystkie wskazane powyżej istniejące obiekty kubaturowe (budynki) i infrastruktura transportowa tj. drogi nie generują uciążliwości zapachowych, nie generują nadmiernego hałasu i uciążliwości świetlnych na planowaną Inwestycję.</w:t>
            </w:r>
          </w:p>
        </w:tc>
      </w:tr>
      <w:tr>
        <w:trPr>
          <w:trHeight w:val="320"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Akty planowania przestrzennego i inne akty prawne na podstawie przepisów odrębnych na terenie objętym przedsięwzięciem deweloperskim lub zadaniem inwestycyjnym</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Ramowe studium uwarunkowań i kierunków zagospodarowania przestrzennego związku metropolitalnego</w:t>
            </w:r>
          </w:p>
        </w:tc>
        <w:tc>
          <w:tcPr>
            <w:tcW w:w="3427"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Studium uwarunkowań i kierunków zagospodarowania przestrzennego gminy Wielka Wieś (uchwała nr XII/52/2007) zmieniony uchwałą nr Nr: IX/95/201.</w:t>
            </w:r>
          </w:p>
          <w:p>
            <w:pPr>
              <w:pStyle w:val="Normal"/>
              <w:spacing w:lineRule="auto" w:line="300" w:before="0" w:after="160"/>
              <w:rPr>
                <w:rFonts w:ascii="Times New Roman" w:hAnsi="Times New Roman" w:eastAsia="Times New Roman" w:cs="Times New Roman"/>
                <w:sz w:val="20"/>
                <w:szCs w:val="20"/>
              </w:rPr>
            </w:pPr>
            <w:r>
              <w:rPr>
                <w:rFonts w:eastAsia="Times New Roman" w:cs="Times New Roman" w:ascii="Times New Roman" w:hAnsi="Times New Roman"/>
                <w:sz w:val="20"/>
                <w:szCs w:val="20"/>
              </w:rPr>
              <w:t>Miejscowy Plan Zagospodarowania Przestrzennego Gminy Wielka Wieś, zatwierdzony uchwałą Nr XXXVIII/178/2005 Rady Gminy Wielka Wieś z dnia 11 marca 2005 r. - z późniejszymi zmianami i zmienionego Uchwałą Rady Gminy Wielka Wieś Nr VI/69/2015 z dnia 28.05.2015r. ogłoszoną obwieszczeniem Rady Gminy Wielka Wieś w sprawie ogłoszenia tekstu jednolitego i rysunku jednolitego miejscowego planu zagospodarowania przestrzennego Gminy Wielka Wieś (t. jedn. Dz. Urz. Woj. Małopolskiego poz. 3607 z dnia 12.06.2015 r.).</w:t>
            </w:r>
          </w:p>
        </w:tc>
      </w:tr>
      <w:tr>
        <w:trPr>
          <w:trHeight w:val="317"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Studium uwarunkowań i kierunków zagospodarowania przestrzennego gminy</w:t>
            </w:r>
          </w:p>
        </w:tc>
        <w:tc>
          <w:tcPr>
            <w:tcW w:w="3427"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17"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Miejscowy plan zagospodarowania przestrzennego</w:t>
            </w:r>
          </w:p>
        </w:tc>
        <w:tc>
          <w:tcPr>
            <w:tcW w:w="3427"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17"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Miejscowy plan rewitalizacji</w:t>
            </w:r>
          </w:p>
        </w:tc>
        <w:tc>
          <w:tcPr>
            <w:tcW w:w="3427"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17"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Miejscowy plan odbudowy</w:t>
            </w:r>
          </w:p>
        </w:tc>
        <w:tc>
          <w:tcPr>
            <w:tcW w:w="3427"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17"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Inne</w:t>
            </w:r>
            <w:r>
              <w:rPr>
                <w:rStyle w:val="FootnoteReference"/>
                <w:rFonts w:eastAsia="Times New Roman" w:cs="Times New Roman" w:ascii="Times New Roman" w:hAnsi="Times New Roman"/>
                <w:sz w:val="20"/>
                <w:szCs w:val="20"/>
                <w:vertAlign w:val="superscript"/>
                <w:lang w:eastAsia="pl-PL"/>
              </w:rPr>
              <w:footnoteReference w:customMarkFollows="1" w:id="5"/>
              <w:t>4)</w:t>
            </w:r>
            <w:r>
              <w:rPr>
                <w:rFonts w:eastAsia="Times New Roman" w:cs="Times New Roman" w:ascii="Times New Roman" w:hAnsi="Times New Roman"/>
                <w:sz w:val="20"/>
                <w:szCs w:val="20"/>
                <w:vertAlign w:val="superscript"/>
                <w:lang w:eastAsia="pl-PL"/>
              </w:rPr>
              <w:t>4)4)4)4)4)4)4)4)4)4)4)</w:t>
            </w:r>
          </w:p>
        </w:tc>
        <w:tc>
          <w:tcPr>
            <w:tcW w:w="3427"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60"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Ustalenia obowiązującego miejscowego planu zagospodarowania przestrzennego dla terenu objętego przedsięwzięciem deweloperskim lub zadaniem inwestycyjnym</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Przeznaczenie terenu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6.MNU – teren zabudowy jednorodzinnej i usługowej</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KD–D1, KD–L1 – tereny tras i urządzeń komunikacyjnych</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Maksymalna i minimalna intensywność zabudowy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Brak danych</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Maksymalna wysokość zabudowy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wysokość budynków: do 9 m</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Minimalny udział procentowy powierzchni biologicznie czynnej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30% terenu działki budowlanej;</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Minimalna liczba miejsc do parkowania</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min. 1 miejsce postojowe lub garażowe na każdy lokal mieszkalny</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ochrony środowiska i zdrowia ludzi, przyrody i krajobrazu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Nie dotyczy</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Wymagania dotyczące zabudowy i zagospodarowania terenu położonego na obszarach szczególnego zagrożenia powodzią</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Nie dotyczy</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ochrony dziedzictwa kulturowego i zabytków oraz dóbr kultury współczesnej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Nie dotyczy</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Wymagania dotyczące ochrony innych terenów lub obiektów podlegających ochronie na podstawie przepisów odrębnych</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Nie dotyczy</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i szczegółowe zasady obsługi w zakresie komunikacji</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Szczegółowe uwarunkowania zawarto w Rozdziale V MPZP Zasady Kształtowania systemów komunikacji i infrastruktury technicznej.</w:t>
            </w:r>
          </w:p>
        </w:tc>
      </w:tr>
      <w:tr>
        <w:trPr>
          <w:trHeight w:val="5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i szczegółowe zasady obsługi w zakresie infrastruktury technicznej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Szczegółowe uwarunkowania zawarto w Rozdziale V MPZP Zasady Kształtowania systemów komunikacji i infrastruktury technicznej.</w:t>
            </w:r>
          </w:p>
        </w:tc>
      </w:tr>
      <w:tr>
        <w:trPr>
          <w:trHeight w:val="288"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Ustalenia obowiązującego miejscowego planu zagospodarowania przestrzennego dla działek lub ich fragmentów, znajdujących się w odległości do 100 m od granicy terenu objętego przedsięwzięciem deweloperskim lub zadaniem inwestycyjnym</w:t>
            </w:r>
            <w:r>
              <w:rPr>
                <w:rStyle w:val="FootnoteReference"/>
                <w:rFonts w:eastAsia="Times New Roman" w:cs="Times New Roman" w:ascii="Times New Roman" w:hAnsi="Times New Roman"/>
                <w:sz w:val="20"/>
                <w:szCs w:val="20"/>
                <w:vertAlign w:val="superscript"/>
                <w:lang w:eastAsia="pl-PL"/>
              </w:rPr>
              <w:footnoteReference w:customMarkFollows="1" w:id="6"/>
              <w:t>*</w:t>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Przeznaczenie terenu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KDZ - teren tras i urządzeń komunikacyjnych</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6.MNU – teren zabudowy jednorodzinnej i usługowej</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6.MN – teren zabudowy jednorodzinnej</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Południowa granica zadania inwestycyjnego jest granicą z Gminą Kraków. Działka sąsiaduje z obszarem, w obrębie którego podjęto Uchwałę Nr XXIII/541/25 z dnia 9 kwietnia 2025 r. w sprawie przystąpienia do sporządzenia mpzp obszaru "Tonie – Gaik”.</w:t>
            </w:r>
          </w:p>
        </w:tc>
      </w:tr>
      <w:tr>
        <w:trPr>
          <w:trHeight w:val="288"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Maksymalna i minimalna intensywność zabudowy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brak danych</w:t>
            </w:r>
          </w:p>
        </w:tc>
      </w:tr>
      <w:tr>
        <w:trPr>
          <w:trHeight w:val="288"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Maksymalna wysokość zabudowy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wysokość budynków: do 9 m</w:t>
            </w:r>
          </w:p>
        </w:tc>
      </w:tr>
      <w:tr>
        <w:trPr>
          <w:trHeight w:val="288"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Minimalny udział procentowy powierzchni biologicznie czynnej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6.MNU: nie mniej niż 30%</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6.MN: nie mniej niż 50%</w:t>
            </w:r>
          </w:p>
        </w:tc>
      </w:tr>
      <w:tr>
        <w:trPr>
          <w:trHeight w:val="288"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Minimalna liczba miejsc do parkowania</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min. 1 miejsce postojowe lub garażowe na każdy lokal mieszkalny</w:t>
            </w:r>
          </w:p>
        </w:tc>
      </w:tr>
      <w:tr>
        <w:trPr>
          <w:trHeight w:val="1687"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Ustalenia decyzji o warunkach zabudowy albo decyzji o ustaleniu lokalizacji inwestycji celu publicznego dla terenu objętego przedsięwzięciem deweloperskim lub zadaniem inwestycyjnym w przypadku braku miejscowego planu zagospodarowania przestrzennego</w:t>
            </w:r>
          </w:p>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Funkcja zabudowy i zagospodarowania terenu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Univers-PL" w:cs="Times New Roman"/>
                <w:sz w:val="20"/>
                <w:szCs w:val="20"/>
                <w:lang w:eastAsia="pl-PL"/>
              </w:rPr>
            </w:pPr>
            <w:r>
              <w:rPr>
                <w:rFonts w:eastAsia="Univers-PL" w:cs="Times New Roman" w:ascii="Times New Roman" w:hAnsi="Times New Roman"/>
                <w:sz w:val="20"/>
                <w:szCs w:val="20"/>
                <w:lang w:eastAsia="pl-PL"/>
              </w:rPr>
            </w:r>
          </w:p>
          <w:p>
            <w:pPr>
              <w:pStyle w:val="Normal"/>
              <w:spacing w:lineRule="auto" w:line="240" w:before="144" w:after="144"/>
              <w:jc w:val="both"/>
              <w:rPr>
                <w:rFonts w:ascii="Times New Roman" w:hAnsi="Times New Roman" w:eastAsia="Univers-PL" w:cs="Times New Roman"/>
                <w:sz w:val="20"/>
                <w:szCs w:val="20"/>
                <w:lang w:eastAsia="pl-PL"/>
              </w:rPr>
            </w:pPr>
            <w:r>
              <w:rPr>
                <w:rFonts w:eastAsia="Univers-PL" w:cs="Times New Roman" w:ascii="Times New Roman" w:hAnsi="Times New Roman"/>
                <w:sz w:val="20"/>
                <w:szCs w:val="20"/>
                <w:lang w:eastAsia="pl-PL"/>
              </w:rPr>
            </w:r>
          </w:p>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Cechy zabudowy i zagospodarowania terenu:</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gabaryty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forma architektoniczna</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usytuowanie linii zabudowy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intensywność wykorzystania terenu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ochrony środowiska i zdrowia ludzi, przyrody i krajobrazu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wymagania dotyczące zabudowy i zagospodarowania terenu położonego na obszarach szczególnego zagrożenia powodzią</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ochrony dziedzictwa kulturowego i zabytków oraz dóbr kultury współczesnej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wymagania dotyczące ochrony innych terenów lub obiektów podlegających ochronie na podstawie przepisów odrębnych</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i szczegółowe zasady obsługi w zakresie komunikacji</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1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warunki i szczegółowe zasady obsługi w zakresie infrastruktury technicznej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Univers-PL" w:cs="Times New Roman" w:ascii="Times New Roman" w:hAnsi="Times New Roman"/>
                <w:sz w:val="20"/>
                <w:szCs w:val="20"/>
                <w:lang w:eastAsia="pl-PL"/>
              </w:rPr>
              <w:t>Nie dotyczy</w:t>
            </w:r>
          </w:p>
        </w:tc>
      </w:tr>
      <w:tr>
        <w:trPr>
          <w:trHeight w:val="73"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rPr>
              <w:t>Informacje dotyczące przewidzianych inwestycji w promieniu 1 km od przedmiotowej nieruchomości</w:t>
            </w:r>
            <w:r>
              <w:rPr>
                <w:rStyle w:val="FootnoteReference"/>
                <w:rFonts w:eastAsia="Times New Roman" w:cs="Times New Roman" w:ascii="Times New Roman" w:hAnsi="Times New Roman"/>
                <w:sz w:val="20"/>
                <w:szCs w:val="20"/>
                <w:vertAlign w:val="superscript"/>
              </w:rPr>
              <w:footnoteReference w:customMarkFollows="1" w:id="7"/>
              <w:t>5)</w:t>
            </w:r>
            <w:r>
              <w:rPr>
                <w:rFonts w:eastAsia="Times New Roman" w:cs="Times New Roman" w:ascii="Times New Roman" w:hAnsi="Times New Roman"/>
                <w:sz w:val="20"/>
                <w:szCs w:val="20"/>
                <w:vertAlign w:val="superscript"/>
              </w:rPr>
              <w:t>5)5)5)5)5)5)5)5)5)5)5)</w:t>
            </w:r>
            <w:r>
              <w:rPr>
                <w:rFonts w:eastAsia="Times New Roman" w:cs="Times New Roman" w:ascii="Times New Roman" w:hAnsi="Times New Roman"/>
                <w:sz w:val="20"/>
                <w:szCs w:val="20"/>
              </w:rPr>
              <w:t>, zawarte w:</w:t>
            </w:r>
          </w:p>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miejscowych planach zagospodarowania przestrzennego</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bookmarkStart w:id="0" w:name="_Hlk211334118"/>
            <w:bookmarkEnd w:id="0"/>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studium uwarunkowań i kierunków zagospodarowania przestrzennego gminy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decyzjach o warunkach zabudowy i zagospodarowania terenu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decyzjach o środowiskowych uwarunkowaniach</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decyzjach </w:t>
            </w:r>
            <w:bookmarkStart w:id="1" w:name="_Hlk211334065"/>
            <w:r>
              <w:rPr>
                <w:rFonts w:eastAsia="Times New Roman" w:cs="Times New Roman" w:ascii="Times New Roman" w:hAnsi="Times New Roman"/>
                <w:sz w:val="20"/>
                <w:szCs w:val="20"/>
              </w:rPr>
              <w:t>o obszarach ograniczonego użytkowania</w:t>
            </w:r>
            <w:bookmarkEnd w:id="1"/>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bookmarkStart w:id="2" w:name="_Hlk211334083"/>
            <w:r>
              <w:rPr>
                <w:rFonts w:eastAsia="Times New Roman" w:cs="Times New Roman" w:ascii="Times New Roman" w:hAnsi="Times New Roman"/>
                <w:sz w:val="20"/>
                <w:szCs w:val="20"/>
              </w:rPr>
              <w:t>miejscowych planach odbudowy</w:t>
            </w:r>
            <w:bookmarkEnd w:id="2"/>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mapach zagrożenia powodziowego i mapach ryzyka powodziowego</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7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Ustalenia decyzji w zakresie rozmieszczenia inwestycji celu publicznego, mogące mieć znaczenie dla terenu objętego przedsięwzięciem deweloperskim lub zadaniem inwestycyjnym:</w:t>
            </w:r>
          </w:p>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84"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zezwoleniu na realizację inwestycji drogowej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ustaleniu lokalizacji linii kolejowej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zezwoleniu na realizację inwestycji w zakresie lotniska użytku publicznego</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pozwoleniu na realizację inwestycji w zakresie budowli przeciwpowodziowych</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ustaleniu lokalizacji inwestycji w zakresie budowy obiektu energetyki jądrowej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ustaleniu lokalizacji strategicznej inwestycji w zakresie sieci przesyłowej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ustaleniu lokalizacji regionalnej sieci szerokopasmowej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ustaleniu lokalizacji inwestycji w zakresie Centralnego Portu Komunikacyjnego</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decyzja o zezwoleniu na realizację inwestycji w zakresie infrastruktury dostępowej</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81"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spacing w:lineRule="auto" w:line="240" w:before="0" w:after="0"/>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lang w:eastAsia="pl-PL"/>
              </w:rPr>
              <w:t>decyzja o ustaleniu lokalizacji strategicznej inwestycji w sektorze naftowym</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Zgodnie z załącznikiem nr 7 do prospektu</w:t>
            </w:r>
          </w:p>
        </w:tc>
      </w:tr>
      <w:tr>
        <w:trPr>
          <w:trHeight w:val="390" w:hRule="atLeast"/>
        </w:trPr>
        <w:tc>
          <w:tcPr>
            <w:tcW w:w="9648" w:type="dxa"/>
            <w:gridSpan w:val="3"/>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INFORMACJE DOTYCZĄCE BUDYNKU</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90"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Czy jest pozwolenie na budowę</w:t>
              <w:br/>
            </w:r>
          </w:p>
        </w:tc>
        <w:tc>
          <w:tcPr>
            <w:tcW w:w="3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44" w:after="144"/>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tak</w:t>
            </w:r>
            <w:r>
              <w:rPr>
                <w:rStyle w:val="FootnoteReference"/>
                <w:rFonts w:eastAsia="Times New Roman" w:cs="Times New Roman" w:ascii="Times New Roman" w:hAnsi="Times New Roman"/>
                <w:sz w:val="20"/>
                <w:szCs w:val="20"/>
                <w:vertAlign w:val="superscript"/>
              </w:rPr>
              <w:footnoteReference w:customMarkFollows="1" w:id="8"/>
              <w:t>*</w:t>
            </w:r>
          </w:p>
        </w:tc>
        <w:tc>
          <w:tcPr>
            <w:tcW w:w="34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44" w:after="144"/>
              <w:jc w:val="center"/>
              <w:rPr>
                <w:rFonts w:ascii="Times New Roman" w:hAnsi="Times New Roman" w:eastAsia="Times New Roman" w:cs="Times New Roman"/>
                <w:strike/>
                <w:sz w:val="20"/>
                <w:szCs w:val="20"/>
              </w:rPr>
            </w:pPr>
            <w:r>
              <w:rPr>
                <w:rFonts w:eastAsia="Times New Roman" w:cs="Times New Roman" w:ascii="Times New Roman" w:hAnsi="Times New Roman"/>
                <w:strike/>
                <w:sz w:val="20"/>
                <w:szCs w:val="20"/>
              </w:rPr>
              <w:t>nie*</w:t>
            </w:r>
          </w:p>
        </w:tc>
      </w:tr>
      <w:tr>
        <w:trPr>
          <w:trHeight w:val="390"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Czy pozwolenie na budowę jest ostateczne</w:t>
            </w:r>
          </w:p>
        </w:tc>
        <w:tc>
          <w:tcPr>
            <w:tcW w:w="3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44" w:after="144"/>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tak*</w:t>
            </w:r>
          </w:p>
        </w:tc>
        <w:tc>
          <w:tcPr>
            <w:tcW w:w="34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44" w:after="144"/>
              <w:jc w:val="center"/>
              <w:rPr>
                <w:rFonts w:ascii="Times New Roman" w:hAnsi="Times New Roman" w:eastAsia="Times New Roman" w:cs="Times New Roman"/>
                <w:strike/>
                <w:sz w:val="20"/>
                <w:szCs w:val="20"/>
              </w:rPr>
            </w:pPr>
            <w:r>
              <w:rPr>
                <w:rFonts w:eastAsia="Times New Roman" w:cs="Times New Roman" w:ascii="Times New Roman" w:hAnsi="Times New Roman"/>
                <w:strike/>
                <w:sz w:val="20"/>
                <w:szCs w:val="20"/>
              </w:rPr>
              <w:t>nie*</w:t>
            </w:r>
          </w:p>
        </w:tc>
      </w:tr>
      <w:tr>
        <w:trPr>
          <w:trHeight w:val="390"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Czy pozwolenie na budowę jest zaskarżone</w:t>
            </w:r>
          </w:p>
        </w:tc>
        <w:tc>
          <w:tcPr>
            <w:tcW w:w="34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44" w:after="144"/>
              <w:jc w:val="center"/>
              <w:rPr>
                <w:rFonts w:ascii="Times New Roman" w:hAnsi="Times New Roman" w:eastAsia="Times New Roman" w:cs="Times New Roman"/>
                <w:strike/>
                <w:sz w:val="20"/>
                <w:szCs w:val="20"/>
              </w:rPr>
            </w:pPr>
            <w:r>
              <w:rPr>
                <w:rFonts w:eastAsia="Times New Roman" w:cs="Times New Roman" w:ascii="Times New Roman" w:hAnsi="Times New Roman"/>
                <w:strike/>
                <w:sz w:val="20"/>
                <w:szCs w:val="20"/>
              </w:rPr>
              <w:t>tak*</w:t>
            </w:r>
          </w:p>
        </w:tc>
        <w:tc>
          <w:tcPr>
            <w:tcW w:w="342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44" w:after="144"/>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nie*</w:t>
            </w:r>
          </w:p>
        </w:tc>
      </w:tr>
      <w:tr>
        <w:trPr>
          <w:trHeight w:val="195"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Numer pozwolenia na budowę oraz nazwa organu, który je wydał</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AB.III-W.1.731.2020 z dnia 30 czerwca 2020 r., wydaną przez Starostę Krakowskiego</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AB.III-W.1.587.2021 z dnia 24 maja 2021 r., wydaną przez Starostę Krakowskiego</w:t>
            </w:r>
          </w:p>
        </w:tc>
      </w:tr>
      <w:tr>
        <w:trPr>
          <w:trHeight w:val="195"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uprawomocnienia się decyzji o pozwoleniu na użytkowanie budynku</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Nie dotyczy</w:t>
            </w:r>
          </w:p>
        </w:tc>
      </w:tr>
      <w:tr>
        <w:trPr>
          <w:trHeight w:val="195"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Data zakończenia budowy domu jednorodzinnego</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Nie dotyczy</w:t>
            </w:r>
          </w:p>
        </w:tc>
      </w:tr>
      <w:tr>
        <w:trPr>
          <w:trHeight w:val="195"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Planowany termin rozpoczęcia i zakończenia robót budowlanych</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z w:val="20"/>
                <w:szCs w:val="20"/>
                <w:shd w:fill="auto" w:val="clear"/>
              </w:rPr>
              <w:t>IX 2026 – IX 2028</w:t>
            </w:r>
          </w:p>
        </w:tc>
      </w:tr>
      <w:tr>
        <w:trPr>
          <w:trHeight w:val="325"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rPr>
              <w:t>Opis przedsięwzięcia deweloperskiego albo zadania inwestycyjnego</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Liczba budynków</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30</w:t>
            </w:r>
          </w:p>
        </w:tc>
      </w:tr>
      <w:tr>
        <w:trPr>
          <w:trHeight w:val="325" w:hRule="atLeast"/>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Rozmieszczenie budynków na nieruchomości (należy podać minimalny odstęp między budynkami)</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2cm między budynkami w zabudowie bliźniaczej i min. 5,40m pomiędzy pozostałymi budynkami</w:t>
            </w:r>
          </w:p>
        </w:tc>
      </w:tr>
      <w:tr>
        <w:trPr>
          <w:trHeight w:val="488"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Sposób pomiaru powierzchni użytkowej lokalu mieszkalnego albo domu jednorodzinnego</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Zgodnie z normą PN-ISO 9836</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Zamierzony sposób i procentowy udział źródeł finansowania przedsięwzięcia deweloperskiego lub zadania inwestycyjnego</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Rodzaj posiadanych środków finansowych – kredyt, środki własne, inne</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highlight w:val="yellow"/>
              </w:rPr>
            </w:pPr>
            <w:r>
              <w:rPr>
                <w:rFonts w:eastAsia="Times New Roman" w:cs="Times New Roman" w:ascii="Times New Roman" w:hAnsi="Times New Roman"/>
                <w:sz w:val="20"/>
                <w:szCs w:val="20"/>
                <w:highlight w:val="yellow"/>
              </w:rPr>
            </w:r>
          </w:p>
        </w:tc>
      </w:tr>
      <w:tr>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 następujących instytucjach finansowych (wypełnia się w przypadku kredytu)</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z w:val="20"/>
                <w:szCs w:val="20"/>
                <w:shd w:fill="auto" w:val="clear"/>
              </w:rPr>
              <w:t>Banki finansujące inwestycje deweloperskie</w:t>
            </w:r>
          </w:p>
        </w:tc>
      </w:tr>
      <w:tr>
        <w:trPr>
          <w:trHeight w:val="1481" w:hRule="atLeast"/>
        </w:trPr>
        <w:tc>
          <w:tcPr>
            <w:tcW w:w="2810" w:type="dxa"/>
            <w:vMerge w:val="restart"/>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rPr>
              <w:t>Środki ochrony nabywców</w:t>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Otwarty mieszkaniowy rachunek powierniczy*</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trike/>
                <w:sz w:val="20"/>
                <w:szCs w:val="20"/>
                <w:shd w:fill="auto" w:val="clear"/>
              </w:rPr>
              <w:t>Zamknięty mieszkaniowy rachunek powierniczy*</w:t>
            </w:r>
          </w:p>
        </w:tc>
      </w:tr>
      <w:tr>
        <w:trPr/>
        <w:tc>
          <w:tcPr>
            <w:tcW w:w="2810" w:type="dxa"/>
            <w:vMerge w:val="continue"/>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41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Wysokość stawki procentowej, według której jest obliczana kwota składki na Deweloperski Fundusz Gwarancyjny</w:t>
            </w:r>
            <w:r>
              <w:rPr>
                <w:rStyle w:val="FootnoteReference"/>
                <w:rFonts w:eastAsia="Times New Roman" w:cs="Times New Roman" w:ascii="Times New Roman" w:hAnsi="Times New Roman"/>
                <w:sz w:val="20"/>
                <w:szCs w:val="20"/>
                <w:vertAlign w:val="superscript"/>
              </w:rPr>
              <w:footnoteReference w:customMarkFollows="1" w:id="9"/>
              <w:t>6)</w:t>
            </w:r>
            <w:r>
              <w:rPr>
                <w:rFonts w:eastAsia="Times New Roman" w:cs="Times New Roman" w:ascii="Times New Roman" w:hAnsi="Times New Roman"/>
                <w:sz w:val="20"/>
                <w:szCs w:val="20"/>
                <w:vertAlign w:val="superscript"/>
              </w:rPr>
              <w:t>6)6)6)6)6)6)6)6)6)6)6)</w:t>
            </w:r>
          </w:p>
        </w:tc>
        <w:tc>
          <w:tcPr>
            <w:tcW w:w="3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rFonts w:ascii="Calibri" w:hAnsi="Calibri" w:eastAsia="Calibri" w:cs="" w:asciiTheme="minorHAnsi" w:cstheme="minorBidi" w:eastAsiaTheme="minorHAnsi" w:hAnsiTheme="minorHAnsi"/>
                <w:highlight w:val="none"/>
                <w:shd w:fill="auto" w:val="clear"/>
              </w:rPr>
            </w:pPr>
            <w:r>
              <w:rPr>
                <w:rFonts w:eastAsia="Times New Roman" w:cs="Times New Roman" w:ascii="Times New Roman" w:hAnsi="Times New Roman"/>
                <w:sz w:val="20"/>
                <w:szCs w:val="20"/>
                <w:shd w:fill="auto" w:val="clear"/>
              </w:rPr>
              <w:t>Zgodnie z ustawą</w:t>
            </w:r>
            <w:r>
              <w:rPr>
                <w:rFonts w:eastAsia="Calibri" w:cs="" w:cstheme="minorBidi" w:eastAsiaTheme="minorHAnsi"/>
                <w:sz w:val="20"/>
                <w:szCs w:val="20"/>
                <w:shd w:fill="auto" w:val="clear"/>
              </w:rPr>
              <w:t xml:space="preserve"> </w:t>
            </w:r>
            <w:r>
              <w:rPr>
                <w:rFonts w:eastAsia="Times New Roman" w:cs="" w:cstheme="minorBidi"/>
                <w:b w:val="false"/>
                <w:bCs w:val="false"/>
                <w:sz w:val="20"/>
                <w:szCs w:val="20"/>
                <w:shd w:fill="auto" w:val="clear"/>
              </w:rPr>
              <w:t>Składki na Fundusz (art. 49 Ustawy)</w:t>
            </w:r>
          </w:p>
        </w:tc>
      </w:tr>
      <w:tr>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rPr>
              <w:t>Główne zasady funkcjonowania wybranego rodzaju zabezpieczenia środków nabywcy</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color w:val="auto"/>
                <w:highlight w:val="none"/>
                <w:shd w:fill="auto" w:val="clear"/>
              </w:rPr>
            </w:pPr>
            <w:r>
              <w:rPr>
                <w:rFonts w:eastAsia="Times New Roman" w:cs="Times New Roman" w:ascii="Times New Roman" w:hAnsi="Times New Roman"/>
                <w:color w:val="000000"/>
                <w:sz w:val="20"/>
                <w:szCs w:val="20"/>
                <w:shd w:fill="auto" w:val="clear"/>
              </w:rPr>
              <w:t>Otwarte rachunki powiernicze</w:t>
            </w:r>
          </w:p>
          <w:p>
            <w:pPr>
              <w:pStyle w:val="Normal"/>
              <w:spacing w:lineRule="auto" w:line="240" w:before="144" w:after="144"/>
              <w:jc w:val="both"/>
              <w:rPr>
                <w:rFonts w:ascii="Times New Roman" w:hAnsi="Times New Roman" w:eastAsia="Times New Roman" w:cs="Times New Roman"/>
                <w:color w:val="EE0000"/>
                <w:sz w:val="20"/>
                <w:szCs w:val="20"/>
              </w:rPr>
            </w:pPr>
            <w:r>
              <w:rPr>
                <w:rFonts w:eastAsia="Times New Roman" w:cs="Times New Roman" w:ascii="Times New Roman" w:hAnsi="Times New Roman"/>
                <w:color w:val="EE0000"/>
                <w:sz w:val="20"/>
                <w:szCs w:val="20"/>
              </w:rPr>
            </w:r>
          </w:p>
          <w:p>
            <w:pPr>
              <w:pStyle w:val="Normal"/>
              <w:spacing w:lineRule="auto" w:line="240" w:before="144" w:after="144"/>
              <w:jc w:val="both"/>
              <w:rPr>
                <w:rFonts w:ascii="Times New Roman" w:hAnsi="Times New Roman" w:eastAsia="Times New Roman" w:cs="Times New Roman"/>
                <w:color w:val="EE0000"/>
                <w:sz w:val="20"/>
                <w:szCs w:val="20"/>
              </w:rPr>
            </w:pPr>
            <w:r>
              <w:rPr>
                <w:rFonts w:eastAsia="Times New Roman" w:cs="Times New Roman" w:ascii="Times New Roman" w:hAnsi="Times New Roman"/>
                <w:color w:val="EE0000"/>
                <w:sz w:val="20"/>
                <w:szCs w:val="20"/>
              </w:rPr>
            </w:r>
          </w:p>
        </w:tc>
      </w:tr>
      <w:tr>
        <w:trPr>
          <w:trHeight w:val="293"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rPr>
                <w:rFonts w:ascii="Times New Roman" w:hAnsi="Times New Roman" w:eastAsia="Times New Roman" w:cs="Times New Roman"/>
                <w:sz w:val="20"/>
                <w:szCs w:val="20"/>
              </w:rPr>
            </w:pPr>
            <w:r>
              <w:rPr>
                <w:rFonts w:eastAsia="Times New Roman" w:cs="Times New Roman" w:ascii="Times New Roman" w:hAnsi="Times New Roman"/>
                <w:sz w:val="20"/>
                <w:szCs w:val="20"/>
              </w:rPr>
              <w:t>Nazwa instytucji zapewniającej bezpieczeństwo środków nabywcy</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08"/>
                <w:tab w:val="left" w:pos="3333" w:leader="none"/>
              </w:tabs>
              <w:spacing w:lineRule="auto" w:line="240" w:before="144" w:after="144"/>
              <w:jc w:val="both"/>
              <w:rPr>
                <w:rFonts w:ascii="Times New Roman" w:hAnsi="Times New Roman" w:eastAsia="Times New Roman" w:cs="Times New Roman"/>
                <w:color w:val="000000"/>
                <w:sz w:val="20"/>
                <w:szCs w:val="20"/>
                <w:highlight w:val="none"/>
                <w:shd w:fill="FFFF00" w:val="clear"/>
              </w:rPr>
            </w:pPr>
            <w:r>
              <w:rPr>
                <w:rFonts w:eastAsia="Times New Roman" w:cs="Times New Roman" w:ascii="Times New Roman" w:hAnsi="Times New Roman"/>
                <w:color w:val="000000"/>
                <w:sz w:val="20"/>
                <w:szCs w:val="20"/>
                <w:shd w:fill="FFFF00" w:val="clear"/>
              </w:rPr>
              <w:t>……</w:t>
            </w:r>
            <w:r>
              <w:rPr>
                <w:rFonts w:eastAsia="Times New Roman" w:cs="Times New Roman" w:ascii="Times New Roman" w:hAnsi="Times New Roman"/>
                <w:color w:val="000000"/>
                <w:sz w:val="20"/>
                <w:szCs w:val="20"/>
                <w:shd w:fill="FFFF00" w:val="clear"/>
              </w:rPr>
              <w:t>..</w:t>
            </w:r>
          </w:p>
        </w:tc>
      </w:tr>
      <w:tr>
        <w:trPr>
          <w:trHeight w:val="488"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Harmonogram przedsięwzięcia deweloperskiego lub zadania inwestycyjnego</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color w:val="auto"/>
              </w:rPr>
            </w:pPr>
            <w:r>
              <w:rPr>
                <w:rFonts w:eastAsia="Times New Roman" w:cs="Times New Roman" w:ascii="Times New Roman" w:hAnsi="Times New Roman"/>
                <w:color w:val="auto"/>
                <w:sz w:val="20"/>
                <w:szCs w:val="20"/>
              </w:rPr>
              <w:t>Załącznik numer 6</w:t>
            </w:r>
          </w:p>
        </w:tc>
      </w:tr>
      <w:tr>
        <w:trPr>
          <w:trHeight w:val="292"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rPr/>
            </w:pPr>
            <w:r>
              <w:rPr>
                <w:rFonts w:eastAsia="Times New Roman" w:cs="Times New Roman" w:ascii="Times New Roman" w:hAnsi="Times New Roman"/>
                <w:sz w:val="20"/>
                <w:szCs w:val="20"/>
              </w:rPr>
              <w:t>Dopuszczenie waloryzacji ceny oraz określenie zasad waloryzacji</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Deweloper dopuszcza zmianę ceny w następujących przypadkach:</w:t>
            </w:r>
          </w:p>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1) w przypadku zmian ustawowej stawki podatku VAT w odniesieniu do ceny</w:t>
            </w:r>
          </w:p>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w całości lub pozostałej do zapłaty części ceny – wówczas w przypadku</w:t>
            </w:r>
          </w:p>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zwiększenia stawki VAT Nabywca będzie zobowiązany do zapłaty</w:t>
            </w:r>
          </w:p>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odpowiednio wyższej ceny albo w przypadku zmniejszenia stawki VAT</w:t>
            </w:r>
          </w:p>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Deweloper będzie zobowiązany do odpowiedniego pomniejszenia ceny</w:t>
            </w:r>
          </w:p>
          <w:p>
            <w:pPr>
              <w:pStyle w:val="Normal"/>
              <w:spacing w:lineRule="auto" w:line="240" w:before="144" w:after="144"/>
              <w:jc w:val="both"/>
              <w:rPr>
                <w:highlight w:val="none"/>
                <w:shd w:fill="auto" w:val="clear"/>
              </w:rPr>
            </w:pPr>
            <w:r>
              <w:rPr>
                <w:rFonts w:eastAsia="Times New Roman" w:cs="Times New Roman" w:ascii="Times New Roman" w:hAnsi="Times New Roman"/>
                <w:color w:val="000000"/>
                <w:sz w:val="20"/>
                <w:szCs w:val="20"/>
                <w:shd w:fill="auto" w:val="clear"/>
              </w:rPr>
              <w:t>lokalu.</w:t>
            </w:r>
          </w:p>
          <w:p>
            <w:pPr>
              <w:pStyle w:val="Normal"/>
              <w:spacing w:lineRule="auto" w:line="240" w:before="144" w:after="144"/>
              <w:jc w:val="both"/>
              <w:rPr>
                <w:highlight w:val="none"/>
                <w:shd w:fill="FFFF00" w:val="clear"/>
              </w:rPr>
            </w:pPr>
            <w:r>
              <w:rPr>
                <w:shd w:fill="FFFF00" w:val="clear"/>
              </w:rPr>
            </w:r>
          </w:p>
          <w:p>
            <w:pPr>
              <w:pStyle w:val="Normal"/>
              <w:spacing w:lineRule="auto" w:line="240" w:before="144" w:after="144"/>
              <w:jc w:val="both"/>
              <w:rPr>
                <w:highlight w:val="none"/>
                <w:shd w:fill="FFFF00" w:val="clear"/>
              </w:rPr>
            </w:pPr>
            <w:r>
              <w:rPr>
                <w:shd w:fill="FFFF00" w:val="clear"/>
              </w:rPr>
            </w:r>
          </w:p>
        </w:tc>
      </w:tr>
      <w:tr>
        <w:trPr/>
        <w:tc>
          <w:tcPr>
            <w:tcW w:w="9648" w:type="dxa"/>
            <w:gridSpan w:val="3"/>
            <w:tcBorders>
              <w:top w:val="single" w:sz="4" w:space="0" w:color="000000"/>
              <w:left w:val="single" w:sz="4" w:space="0" w:color="000000"/>
              <w:bottom w:val="single" w:sz="4" w:space="0" w:color="000000"/>
              <w:right w:val="single" w:sz="4" w:space="0" w:color="000000"/>
            </w:tcBorders>
            <w:shd w:color="auto" w:fill="E0E0E0"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WARUNKI ODSTĄPIENIA OD UMOWY DEWELOPERSKIEJ LUB UMOWY, O KTÓREJ MOWA W ART. 2 UST. 1 PKT 2, 3 LUB 5 USTAWY Z DNIA 20 MAJA 2021 O OCHRONIE PRAW NABYWCY LOKALU MIESZKALNEGO LUB DOMU JEDNORODZINNEGO ORAZ O DEWELOPERSKIM FUNDUSZU GWARANCYJNYM</w:t>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r>
      <w:tr>
        <w:trPr>
          <w:trHeight w:val="1512" w:hRule="atLeast"/>
        </w:trPr>
        <w:tc>
          <w:tcPr>
            <w:tcW w:w="2810"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Należy opisać, na jakich warunkach można odstąpić od umowy deweloperskiej lub jednej z umów, o których mowa w art. 2 ust. 1 pkt 2, 3 lub 5 ustawy z dnia 20.2021 o ochronie praw nabywcy lokalu mieszkalnego lub domu jednorodzinnego oraz o Deweloperskim Funduszu Gwarancyjnym</w:t>
            </w:r>
          </w:p>
        </w:tc>
        <w:tc>
          <w:tcPr>
            <w:tcW w:w="683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44" w:after="144"/>
              <w:jc w:val="both"/>
              <w:rPr>
                <w:color w:val="auto"/>
                <w:highlight w:val="none"/>
                <w:shd w:fill="auto" w:val="clear"/>
              </w:rPr>
            </w:pPr>
            <w:r>
              <w:rPr>
                <w:rFonts w:eastAsia="Times New Roman" w:cs="Times New Roman" w:ascii="Times New Roman" w:hAnsi="Times New Roman"/>
                <w:color w:val="000000"/>
                <w:sz w:val="20"/>
                <w:szCs w:val="20"/>
                <w:shd w:fill="auto" w:val="clear"/>
              </w:rPr>
              <w:t>Zgodnie z złącznikiem numer 4</w:t>
            </w:r>
          </w:p>
          <w:p>
            <w:pPr>
              <w:pStyle w:val="Normal"/>
              <w:spacing w:lineRule="auto" w:line="240" w:before="144" w:after="144"/>
              <w:jc w:val="both"/>
              <w:rPr>
                <w:color w:val="000000"/>
              </w:rPr>
            </w:pPr>
            <w:r>
              <w:rPr>
                <w:color w:val="000000"/>
              </w:rPr>
            </w:r>
          </w:p>
        </w:tc>
      </w:tr>
      <w:tr>
        <w:trPr>
          <w:trHeight w:val="510" w:hRule="atLeast"/>
        </w:trPr>
        <w:tc>
          <w:tcPr>
            <w:tcW w:w="9648" w:type="dxa"/>
            <w:gridSpan w:val="3"/>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INNE INFORMACJE</w:t>
            </w:r>
          </w:p>
        </w:tc>
      </w:tr>
      <w:tr>
        <w:trPr>
          <w:trHeight w:val="1512" w:hRule="atLeast"/>
        </w:trPr>
        <w:tc>
          <w:tcPr>
            <w:tcW w:w="9648" w:type="dxa"/>
            <w:gridSpan w:val="3"/>
            <w:tcBorders>
              <w:top w:val="single" w:sz="4" w:space="0" w:color="000000"/>
              <w:left w:val="single" w:sz="4" w:space="0" w:color="000000"/>
              <w:right w:val="single" w:sz="4" w:space="0" w:color="000000"/>
            </w:tcBorders>
            <w:shd w:color="auto" w:fill="F3F3F3"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 Informacja o:</w:t>
            </w:r>
          </w:p>
          <w:p>
            <w:pPr>
              <w:pStyle w:val="Normal"/>
              <w:spacing w:lineRule="auto" w:line="240" w:before="144" w:after="144"/>
              <w:ind w:hanging="313" w:left="313"/>
              <w:jc w:val="both"/>
              <w:rPr>
                <w:rFonts w:ascii="Times New Roman" w:hAnsi="Times New Roman" w:eastAsia="Times New Roman" w:cs="Times New Roman"/>
                <w:sz w:val="20"/>
                <w:szCs w:val="20"/>
                <w:lang w:eastAsia="pl-PL"/>
              </w:rPr>
            </w:pPr>
            <w:r>
              <w:rPr>
                <w:rFonts w:eastAsia="Times New Roman" w:cs="Times New Roman" w:ascii="Times New Roman" w:hAnsi="Times New Roman"/>
                <w:sz w:val="20"/>
                <w:szCs w:val="20"/>
              </w:rPr>
              <w:t>1)</w:t>
              <w:tab/>
              <w:t xml:space="preserve">zgodzie </w:t>
            </w:r>
            <w:r>
              <w:rPr>
                <w:rFonts w:eastAsia="Times New Roman" w:cs="Times New Roman" w:ascii="Times New Roman" w:hAnsi="Times New Roman"/>
                <w:sz w:val="20"/>
                <w:szCs w:val="20"/>
                <w:lang w:eastAsia="pl-PL"/>
              </w:rPr>
              <w:t>banku lub innego wierzyciela hipotecznego na bezobciążeniowe ustanowienie odrębnej własności lokalu mieszkalnego i przeniesienie jego własności na nabywcę po wpłacie pełnej ceny przez nabywcę lub zobowiązanie do jej udzielenia, jeżeli takie obciążenie istnieje, albo zgodzie banku lub innego wierzyciela hipotecznego na bezobciążeniowe przeniesienie na nabywcę własności nieruchomości wraz z domem jednorodzinnym lub użytkowania wieczystego nieruchomości gruntowej i własności domu jednorodzinnego stanowiącego odrębną nieruchomość, lub przeniesienie ułamkowej części własności nieruchomości wraz z prawem do wyłącznego korzystania z części nieruchomości służącej zaspokajaniu potrzeb mieszkaniowych po wpłacie pełnej ceny przez nabywcę lub zobowiązanie do jej udzielenia, jeżeli takie obciążenie istnieje;</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eastAsia="pl-PL"/>
              </w:rPr>
              <w:t>2)</w:t>
              <w:tab/>
            </w:r>
            <w:r>
              <w:rPr>
                <w:rFonts w:eastAsia="Times New Roman" w:cs="Times New Roman" w:ascii="Times New Roman" w:hAnsi="Times New Roman"/>
                <w:sz w:val="20"/>
                <w:szCs w:val="20"/>
              </w:rPr>
              <w:t xml:space="preserve">w przypadku umów, o których mowa w art. 2 ust. 2 ustawy z dnia 20 maja 2021 o ochronie praw nabywcy lokalu mieszkalnego lub domu jednorodzinnego oraz o Deweloperskim Funduszu Gwarancyjnym, o </w:t>
            </w:r>
            <w:r>
              <w:rPr>
                <w:rFonts w:eastAsia="Times New Roman" w:cs="Times New Roman" w:ascii="Times New Roman" w:hAnsi="Times New Roman"/>
                <w:sz w:val="20"/>
                <w:szCs w:val="20"/>
                <w:lang w:eastAsia="pl-PL"/>
              </w:rPr>
              <w:t>zgodzie banku lub innego wierzyciela hipotecznego na bezobciążeniowe przeniesienie własności lokalu użytkowego na nabywcę po wpłacie pełnej ceny przez nabywcę lub zobowiązanie do udzielenia takiej zgody, jeżeli takie obciążenie istnieje, albo zgodzie banku lub innego wierzyciela hipotecznego na bezobciążeniowe przeniesienie na nabywcę ułamkowej części własności lokalu użytkowego po wpłacie pełnej ceny przez nabywcę lub zobowiązanie do udzielenia takiej zgody, jeżeli takie obciążenie istnieje.</w:t>
            </w:r>
          </w:p>
        </w:tc>
      </w:tr>
      <w:tr>
        <w:trPr>
          <w:trHeight w:val="1512" w:hRule="atLeast"/>
        </w:trPr>
        <w:tc>
          <w:tcPr>
            <w:tcW w:w="9648" w:type="dxa"/>
            <w:gridSpan w:val="3"/>
            <w:tcBorders>
              <w:left w:val="single" w:sz="4" w:space="0" w:color="000000"/>
              <w:right w:val="single" w:sz="4" w:space="0" w:color="000000"/>
            </w:tcBorders>
            <w:shd w:color="auto" w:fill="FFFFFF"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II. Informacja o możliwości zapoznania się w lokalu przedsiębiorstwa przez osobę zainteresowaną zawarciem umowy odpowiednio do zakresu umowy z:</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aktualnym stanem księgi wieczystej;</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aktualnym odpisem, wyciągiem, zaświadczeniem lub wydrukiem komputerowym z Centralnej Informacji Krajowego Rejestru Sądowego, jeżeli podmiot podlega wpisowi do Krajowego Rejestru Sądowego, albo aktualnym zaświadczeniem o wpisie do Centralnej Ewidencji i Informacji o Działalności Gospodarczej lub wydrukiem ze strony internetowej tej ewidencji;</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kopią decyzji o pozwoleniu na budowę;</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sprawozdaniem finansowym dewelopera za ostatnie dwa lata, a w przypadku realizacji inwestycji przez spółkę celową – sprawozdaniem spółki dominującej oraz spółki celowej;</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projektem budowlanym;</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kopią decyzji o pozwoleniu na użytkowanie budynku;</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zaświadczeniem o samodzielności lokalu;</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aktem ustanowienia odrębnej własności lokalu;</w:t>
            </w:r>
          </w:p>
          <w:p>
            <w:pPr>
              <w:pStyle w:val="Normal"/>
              <w:widowControl w:val="false"/>
              <w:numPr>
                <w:ilvl w:val="0"/>
                <w:numId w:val="3"/>
              </w:numPr>
              <w:spacing w:lineRule="auto" w:line="240" w:before="144" w:after="144"/>
              <w:ind w:hanging="378" w:left="738"/>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dokumentem potwierdzającym:</w:t>
            </w:r>
          </w:p>
          <w:p>
            <w:pPr>
              <w:pStyle w:val="Normal"/>
              <w:widowControl w:val="false"/>
              <w:numPr>
                <w:ilvl w:val="0"/>
                <w:numId w:val="4"/>
              </w:numPr>
              <w:spacing w:lineRule="auto" w:line="240" w:before="144" w:after="144"/>
              <w:ind w:hanging="425" w:left="1163"/>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zgodę </w:t>
            </w:r>
            <w:r>
              <w:rPr>
                <w:rFonts w:eastAsia="Times New Roman" w:cs="Times New Roman" w:ascii="Times New Roman" w:hAnsi="Times New Roman"/>
                <w:sz w:val="20"/>
                <w:szCs w:val="20"/>
                <w:lang w:eastAsia="pl-PL"/>
              </w:rPr>
              <w:t>banku lub innego wierzyciela hipotecznego na bezobciążeniowe ustanowienie odrębnej własności lokalu mieszkalnego i przeniesienie jego własności na nabywcę po wpłacie pełnej ceny przez nabywcę lub zobowiązaniem do jej udzielenia, jeżeli takie obciążenie istnieje, albo zgodą banku lub innego wierzyciela hipotecznego na bezobciążeniowe przeniesienie na nabywcę własności nieruchomości wraz z domem jednorodzinnym lub użytkowania wieczystego nieruchomości gruntowej i własności domu jednorodzinnego stanowiącego odrębną nieruchomość, lub przeniesienie ułamkowej części własności nieruchomości wraz z prawem do wyłącznego korzystania z części nieruchomości służącej zaspokajaniu potrzeb mieszkaniowych po wpłacie pełnej ceny przez nabywcę lub zobowiązaniem do jej udzielenia, jeżeli takie obciążenie istnieje,</w:t>
            </w:r>
          </w:p>
          <w:p>
            <w:pPr>
              <w:pStyle w:val="Normal"/>
              <w:widowControl w:val="false"/>
              <w:numPr>
                <w:ilvl w:val="0"/>
                <w:numId w:val="4"/>
              </w:numPr>
              <w:spacing w:lineRule="auto" w:line="240" w:before="144" w:after="144"/>
              <w:ind w:hanging="425" w:left="1163"/>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w przypadku umów, o których mowa w art. 2 ust. 2 z </w:t>
            </w:r>
            <w:r>
              <w:rPr>
                <w:rFonts w:eastAsia="Times New Roman" w:cs="Times New Roman" w:ascii="Times New Roman" w:hAnsi="Times New Roman"/>
                <w:sz w:val="20"/>
                <w:szCs w:val="20"/>
                <w:shd w:fill="auto" w:val="clear"/>
              </w:rPr>
              <w:t>dnia 20 maja 2021 o</w:t>
            </w:r>
            <w:r>
              <w:rPr>
                <w:rFonts w:eastAsia="Times New Roman" w:cs="Times New Roman" w:ascii="Times New Roman" w:hAnsi="Times New Roman"/>
                <w:sz w:val="20"/>
                <w:szCs w:val="20"/>
              </w:rPr>
              <w:t xml:space="preserve"> ochronie praw nabywcy lokalu mieszkalnego lub domu jednorodzinnego oraz o Deweloperskim Funduszu Gwarancyjnym, </w:t>
            </w:r>
            <w:r>
              <w:rPr>
                <w:rFonts w:eastAsia="Times New Roman" w:cs="Times New Roman" w:ascii="Times New Roman" w:hAnsi="Times New Roman"/>
                <w:sz w:val="20"/>
                <w:szCs w:val="20"/>
                <w:lang w:eastAsia="pl-PL"/>
              </w:rPr>
              <w:t>zgodą banku lub innego wierzyciela hipotecznego na bezobciążeniowe przeniesienie własności lokalu użytkowego na nabywcę po wpłacie pełnej ceny przez nabywcę lub zobowiązaniem do udzielenia takiej zgody, jeżeli takie obciążenie istnieje, albo zgodą banku lub innego wierzyciela hipotecznego na bezobciążeniowe przeniesienie na nabywcę ułamkowej części własności lokalu użytkowego po wpłacie pełnej ceny przez nabywcę lub zobowiązaniem do udzielenia takiej zgody, jeżeli takie obciążenie istnieje.</w:t>
            </w:r>
          </w:p>
        </w:tc>
      </w:tr>
      <w:tr>
        <w:trPr>
          <w:trHeight w:val="1512" w:hRule="atLeast"/>
        </w:trPr>
        <w:tc>
          <w:tcPr>
            <w:tcW w:w="9648" w:type="dxa"/>
            <w:gridSpan w:val="3"/>
            <w:tcBorders>
              <w:left w:val="single" w:sz="4" w:space="0" w:color="000000"/>
              <w:bottom w:val="single" w:sz="4" w:space="0" w:color="000000"/>
              <w:right w:val="single" w:sz="4" w:space="0" w:color="000000"/>
            </w:tcBorders>
            <w:shd w:color="auto" w:fill="FFFFFF" w:val="clear"/>
          </w:tcPr>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III. Informacja:</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Środki pieniężne zgromadzone </w:t>
            </w:r>
            <w:r>
              <w:rPr>
                <w:rFonts w:eastAsia="Times New Roman" w:cs="Times New Roman" w:ascii="Times New Roman" w:hAnsi="Times New Roman"/>
                <w:sz w:val="20"/>
                <w:szCs w:val="20"/>
                <w:shd w:fill="FFFF00" w:val="clear"/>
              </w:rPr>
              <w:t>w… [nazwa banku</w:t>
            </w:r>
            <w:r>
              <w:rPr>
                <w:rFonts w:eastAsia="Times New Roman" w:cs="Times New Roman" w:ascii="Times New Roman" w:hAnsi="Times New Roman"/>
                <w:sz w:val="20"/>
                <w:szCs w:val="20"/>
              </w:rPr>
              <w:t xml:space="preserve"> prowadzącego mieszkaniowy rachunek powierniczy], prowadzącym otwarty mieszkaniowy rachunek powierniczy albo zamknięty mieszkaniowy rachunek powierniczy, są objęte ochroną obowiązkowego systemu gwarantowania depozytów, na zasadach określonych w ustawie z dnia 10 czerwca 2016 r. o Bankowym Funduszu Gwarancyjnym, systemie gwarantowania depozytów oraz przymusowej restrukturyzacji (Dz. U. z 2020 r. poz. 842).</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Informacje podstawowe o obowiązkowym systemie gwarantowania depozytów:</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r>
            <w:r>
              <w:rPr>
                <w:rFonts w:eastAsia="Times New Roman" w:cs="Times New Roman" w:ascii="Times New Roman" w:hAnsi="Times New Roman"/>
                <w:sz w:val="20"/>
                <w:szCs w:val="20"/>
                <w:shd w:fill="FFFF00" w:val="clear"/>
              </w:rPr>
              <w:t>ochrona środków dotyczy sytuacji spełnienia warunku gwarancji wobec ………… [nazwa banku prowadzącego mieszkaniowy rachunek powierniczy],</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w przypadku rachunku powierniczego deponentem (uprawnionym do środków gwarantowanych) jest każdy z powierzających, w granicach wynikających z jego udziału w kwocie zgromadzonej na tym rachunku, a w granicach pozostałej kwoty na rachunku prawo do środków gwarantowanych ma powiernik,</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limit gwarancyjny przypadający na jednego deponenta to równowartość w złotych 100 000 euro; w przypadkach określonych w art. 24 ust. 3 i 4 ustawy z dnia 10 czerwca 2016 r. o Bankowym Funduszu Gwarancyjnym, systemie gwarantowania depozytów oraz przymusowej restrukturyzacji, środki deponenta, w terminie 3 miesięcy od dnia ich wpływu na rachunek, objęte są gwarancjami ponad równowartość w złotych 100 000 euro,</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podstawą wyliczenia kwoty środków gwarantowanych należnej deponentowi jest suma wszystkich podlegających ochronie należności tego deponenta od banku, w tym należności z tytułu środków zgromadzonych na jego rachunkach osobistych i z tytułu jego udziału w środkach zgromadzonych na rachunku powierniczym,</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wypłata środków gwarantowanych – co do zasady – następuje w terminie 7 dni roboczych od dnia spełnienia warunku gwarancji wobec banku,</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t>wypłata środków gwarantowanych jest dokonywana w złotych,</w:t>
            </w:r>
          </w:p>
          <w:p>
            <w:pPr>
              <w:pStyle w:val="Normal"/>
              <w:spacing w:lineRule="auto" w:line="240" w:before="144" w:after="144"/>
              <w:ind w:hanging="313" w:left="313"/>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sz w:val="20"/>
                <w:szCs w:val="20"/>
              </w:rPr>
              <w:tab/>
            </w:r>
            <w:r>
              <w:rPr>
                <w:rFonts w:eastAsia="Times New Roman" w:cs="Times New Roman" w:ascii="Times New Roman" w:hAnsi="Times New Roman"/>
                <w:sz w:val="20"/>
                <w:szCs w:val="20"/>
                <w:shd w:fill="FFFF00" w:val="clear"/>
              </w:rPr>
              <w:t>………… [nazwa banku prowadzącego mieszkaniowy rachunek powierniczy] korzysta także z następujących znaków towarowych: …………</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Dalsze informacje na temat systemu gwarantowania depozytów można uzyskać na stronie internetowej Bankowego Funduszu Gwarancyjnego: https://www.bfg.pl/.</w:t>
            </w:r>
          </w:p>
          <w:p>
            <w:pPr>
              <w:pStyle w:val="Normal"/>
              <w:widowControl w:val="false"/>
              <w:numPr>
                <w:ilvl w:val="0"/>
                <w:numId w:val="2"/>
              </w:numPr>
              <w:tabs>
                <w:tab w:val="clear" w:pos="708"/>
                <w:tab w:val="left" w:pos="314" w:leader="none"/>
                <w:tab w:val="left" w:pos="728" w:leader="none"/>
              </w:tabs>
              <w:spacing w:lineRule="auto" w:line="240" w:before="144" w:after="144"/>
              <w:ind w:hanging="720" w:left="30"/>
              <w:contextualSpacing/>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Informacja zamieszczana w przypadku </w:t>
            </w:r>
            <w:r>
              <w:rPr>
                <w:rFonts w:eastAsia="Times New Roman" w:cs="Times New Roman" w:ascii="Times New Roman" w:hAnsi="Times New Roman"/>
                <w:bCs/>
                <w:sz w:val="20"/>
                <w:szCs w:val="20"/>
              </w:rPr>
              <w:t>zawarcia umowy mieszkaniowego rachunku powierniczego z oddziałem instytucji kredytowej, o której mowa w art. 4 ust. 1 pkt 18 ustawy z dnia 29 sierpnia 1997 r. – Prawo bankowe (Dz. U. z 2020 r. poz. 1896, 2320 i 2419).</w:t>
            </w:r>
          </w:p>
          <w:p>
            <w:pPr>
              <w:pStyle w:val="Normal"/>
              <w:spacing w:lineRule="auto" w:line="240" w:before="144" w:after="144"/>
              <w:jc w:val="both"/>
              <w:rPr>
                <w:rFonts w:ascii="Times New Roman" w:hAnsi="Times New Roman" w:eastAsia="Times New Roman" w:cs="Times New Roman"/>
                <w:sz w:val="20"/>
                <w:szCs w:val="20"/>
              </w:rPr>
            </w:pPr>
            <w:r>
              <w:rPr>
                <w:rFonts w:eastAsia="Times New Roman" w:cs="Times New Roman" w:ascii="Times New Roman" w:hAnsi="Times New Roman"/>
                <w:bCs/>
                <w:sz w:val="20"/>
                <w:szCs w:val="20"/>
              </w:rPr>
              <w:t>Oddział instytucji kredytowej, w rozumieniu art. 4 ust. 1 pkt 18 ustawy z dnia 29 sierpnia 1997 r. – Prawo bankowe jest objęty systemem gwarantowania państwa macierzystego, co oznacza, że nie mają do niego zastosowania przepisy ustawy z dnia 10 czerwca 2016 r. o Bankowym Funduszu Gwarancyjnym systemie gwarantowania depozytów oraz przymusowej restrukturyzacji.</w:t>
            </w:r>
          </w:p>
        </w:tc>
      </w:tr>
    </w:tbl>
    <w:p>
      <w:pPr>
        <w:pStyle w:val="Normal"/>
        <w:spacing w:lineRule="auto" w:line="240" w:before="144" w:after="144"/>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CZĘŚĆ INDYWIDUALNA</w:t>
      </w:r>
    </w:p>
    <w:p>
      <w:pPr>
        <w:pStyle w:val="Normal"/>
        <w:spacing w:lineRule="auto" w:line="240" w:before="144" w:after="144"/>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bl>
      <w:tblPr>
        <w:tblStyle w:val="Tabela-Siatka111"/>
        <w:tblW w:w="90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071"/>
        <w:gridCol w:w="3068"/>
        <w:gridCol w:w="2905"/>
      </w:tblGrid>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Cena lokalu mieszkalnego albo domu jednorodzinnego</w:t>
            </w:r>
          </w:p>
        </w:tc>
        <w:tc>
          <w:tcPr>
            <w:tcW w:w="5973" w:type="dxa"/>
            <w:gridSpan w:val="2"/>
            <w:tcBorders/>
          </w:tcPr>
          <w:p>
            <w:pPr>
              <w:pStyle w:val="Normal"/>
              <w:widowControl/>
              <w:suppressAutoHyphens w:val="true"/>
              <w:spacing w:lineRule="auto" w:line="240" w:before="144" w:after="144"/>
              <w:jc w:val="left"/>
              <w:rPr>
                <w:highlight w:val="none"/>
                <w:shd w:fill="FFFF00" w:val="clear"/>
              </w:rPr>
            </w:pPr>
            <w:r>
              <w:rPr>
                <w:rFonts w:eastAsia="Times New Roman" w:cs="Times New Roman" w:ascii="Times New Roman" w:hAnsi="Times New Roman"/>
                <w:b/>
                <w:color w:val="FF4000"/>
                <w:kern w:val="0"/>
                <w:sz w:val="20"/>
                <w:szCs w:val="20"/>
                <w:shd w:fill="FFFF00" w:val="clear"/>
                <w:lang w:val="pl-PL" w:eastAsia="pl-PL" w:bidi="ar-SA"/>
              </w:rPr>
              <w:t>……</w:t>
            </w:r>
            <w:r>
              <w:rPr>
                <w:rFonts w:eastAsia="Times New Roman" w:cs="Times New Roman" w:ascii="Times New Roman" w:hAnsi="Times New Roman"/>
                <w:b/>
                <w:color w:val="FF4000"/>
                <w:kern w:val="0"/>
                <w:sz w:val="20"/>
                <w:szCs w:val="20"/>
                <w:shd w:fill="FFFF00" w:val="clear"/>
                <w:lang w:val="pl-PL" w:eastAsia="pl-PL" w:bidi="ar-SA"/>
              </w:rPr>
              <w:t>...</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Powierzchnia użytkowa lokalu mieszkalnego albo domu jednorodzinnego</w:t>
            </w:r>
          </w:p>
        </w:tc>
        <w:tc>
          <w:tcPr>
            <w:tcW w:w="5973" w:type="dxa"/>
            <w:gridSpan w:val="2"/>
            <w:tcBorders/>
          </w:tcPr>
          <w:p>
            <w:pPr>
              <w:pStyle w:val="Normal"/>
              <w:widowControl/>
              <w:suppressAutoHyphens w:val="true"/>
              <w:spacing w:lineRule="auto" w:line="240" w:before="144" w:after="144"/>
              <w:jc w:val="left"/>
              <w:rPr>
                <w:highlight w:val="none"/>
                <w:shd w:fill="FFFF00" w:val="clear"/>
              </w:rPr>
            </w:pPr>
            <w:r>
              <w:rPr>
                <w:rFonts w:eastAsia="Times New Roman" w:cs="Times New Roman" w:ascii="Times New Roman" w:hAnsi="Times New Roman"/>
                <w:b/>
                <w:color w:val="FF4000"/>
                <w:kern w:val="0"/>
                <w:sz w:val="20"/>
                <w:szCs w:val="20"/>
                <w:shd w:fill="FFFF00" w:val="clear"/>
                <w:lang w:val="pl-PL" w:eastAsia="pl-PL" w:bidi="ar-SA"/>
              </w:rPr>
              <w:t>………</w:t>
            </w:r>
            <w:r>
              <w:rPr>
                <w:rFonts w:eastAsia="Times New Roman" w:cs="Times New Roman" w:ascii="Times New Roman" w:hAnsi="Times New Roman"/>
                <w:b/>
                <w:color w:val="FF4000"/>
                <w:kern w:val="0"/>
                <w:sz w:val="20"/>
                <w:szCs w:val="20"/>
                <w:shd w:fill="FFFF00" w:val="clear"/>
                <w:lang w:val="pl-PL" w:eastAsia="pl-PL" w:bidi="ar-SA"/>
              </w:rPr>
              <w:t>.</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Cena m</w:t>
            </w:r>
            <w:r>
              <w:rPr>
                <w:rFonts w:eastAsia="Times New Roman" w:cs="Times New Roman" w:ascii="Times New Roman" w:hAnsi="Times New Roman"/>
                <w:kern w:val="0"/>
                <w:sz w:val="20"/>
                <w:szCs w:val="20"/>
                <w:vertAlign w:val="superscript"/>
                <w:lang w:val="pl-PL" w:eastAsia="pl-PL" w:bidi="ar-SA"/>
              </w:rPr>
              <w:t>2</w:t>
            </w:r>
            <w:r>
              <w:rPr>
                <w:rFonts w:eastAsia="Times New Roman" w:cs="Times New Roman" w:ascii="Times New Roman" w:hAnsi="Times New Roman"/>
                <w:kern w:val="0"/>
                <w:sz w:val="20"/>
                <w:szCs w:val="20"/>
                <w:lang w:val="pl-PL" w:eastAsia="pl-PL" w:bidi="ar-SA"/>
              </w:rPr>
              <w:t xml:space="preserve"> powierzchni użytkowej lokalu mieszkalnego albo domu jednorodzinnego</w:t>
            </w:r>
          </w:p>
        </w:tc>
        <w:tc>
          <w:tcPr>
            <w:tcW w:w="5973" w:type="dxa"/>
            <w:gridSpan w:val="2"/>
            <w:tcBorders/>
          </w:tcPr>
          <w:p>
            <w:pPr>
              <w:pStyle w:val="Normal"/>
              <w:widowControl/>
              <w:suppressAutoHyphens w:val="true"/>
              <w:spacing w:lineRule="auto" w:line="240" w:before="144" w:after="144"/>
              <w:jc w:val="left"/>
              <w:rPr>
                <w:highlight w:val="none"/>
                <w:shd w:fill="FFFF00" w:val="clear"/>
              </w:rPr>
            </w:pPr>
            <w:r>
              <w:rPr>
                <w:rFonts w:eastAsia="Times New Roman" w:cs="Times New Roman" w:ascii="Times New Roman" w:hAnsi="Times New Roman"/>
                <w:b/>
                <w:color w:val="FF4000"/>
                <w:kern w:val="0"/>
                <w:sz w:val="20"/>
                <w:szCs w:val="20"/>
                <w:shd w:fill="FFFF00" w:val="clear"/>
                <w:lang w:val="pl-PL" w:eastAsia="pl-PL" w:bidi="ar-SA"/>
              </w:rPr>
              <w:t>…</w:t>
            </w:r>
            <w:r>
              <w:rPr>
                <w:rFonts w:eastAsia="Times New Roman" w:cs="Times New Roman" w:ascii="Times New Roman" w:hAnsi="Times New Roman"/>
                <w:b/>
                <w:color w:val="FF4000"/>
                <w:kern w:val="0"/>
                <w:sz w:val="20"/>
                <w:szCs w:val="20"/>
                <w:shd w:fill="FFFF00" w:val="clear"/>
                <w:lang w:val="pl-PL" w:eastAsia="pl-PL" w:bidi="ar-SA"/>
              </w:rPr>
              <w:t>...</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 xml:space="preserve">Termin, do którego nastąpi przeniesienie prawa własności nieruchomości wynikającego z umowy deweloperskiej lub jednej z umów, o których mowa w art. 2 ust. 1 pkt 2, 3 lub 5 lub ust. 2 ustawy z dnia </w:t>
            </w:r>
            <w:r>
              <w:rPr>
                <w:rFonts w:eastAsia="Times New Roman" w:cs="Times New Roman" w:ascii="Times New Roman" w:hAnsi="Times New Roman"/>
                <w:kern w:val="0"/>
                <w:sz w:val="20"/>
                <w:szCs w:val="20"/>
                <w:shd w:fill="auto" w:val="clear"/>
                <w:lang w:val="pl-PL" w:eastAsia="pl-PL" w:bidi="ar-SA"/>
              </w:rPr>
              <w:t>20 maja 2021</w:t>
            </w:r>
            <w:r>
              <w:rPr>
                <w:rFonts w:eastAsia="Times New Roman" w:cs="Times New Roman" w:ascii="Times New Roman" w:hAnsi="Times New Roman"/>
                <w:kern w:val="0"/>
                <w:sz w:val="20"/>
                <w:szCs w:val="20"/>
                <w:lang w:val="pl-PL" w:eastAsia="pl-PL" w:bidi="ar-SA"/>
              </w:rPr>
              <w:t xml:space="preserve"> o ochronie praw nabywcy lokalu mieszkalnego lub domu jednorodzinnego oraz o Deweloperskim Funduszu Gwarancyjnym</w:t>
            </w:r>
          </w:p>
        </w:tc>
        <w:tc>
          <w:tcPr>
            <w:tcW w:w="5973" w:type="dxa"/>
            <w:gridSpan w:val="2"/>
            <w:tcBorders/>
          </w:tcPr>
          <w:p>
            <w:pPr>
              <w:pStyle w:val="Normal"/>
              <w:widowControl/>
              <w:suppressAutoHyphens w:val="true"/>
              <w:spacing w:lineRule="auto" w:line="240" w:before="144" w:after="144"/>
              <w:jc w:val="left"/>
              <w:rPr>
                <w:color w:val="auto"/>
                <w:highlight w:val="none"/>
                <w:shd w:fill="auto" w:val="clear"/>
              </w:rPr>
            </w:pPr>
            <w:r>
              <w:rPr>
                <w:rFonts w:eastAsia="Times New Roman" w:cs="Times New Roman" w:ascii="Times New Roman" w:hAnsi="Times New Roman"/>
                <w:b/>
                <w:color w:val="000000"/>
                <w:kern w:val="0"/>
                <w:sz w:val="20"/>
                <w:szCs w:val="20"/>
                <w:shd w:fill="auto" w:val="clear"/>
                <w:lang w:val="pl-PL" w:eastAsia="pl-PL" w:bidi="ar-SA"/>
              </w:rPr>
              <w:t>Etap I ( zadanie ) II kwartał 2027 roku</w:t>
              <w:br/>
              <w:t>Etap II  ( zadanie) III kwartał 2027 roku</w:t>
              <w:br/>
              <w:t>Etap III ( zadanie) IV kwartał 2027 roku</w:t>
            </w:r>
          </w:p>
        </w:tc>
      </w:tr>
      <w:tr>
        <w:trPr/>
        <w:tc>
          <w:tcPr>
            <w:tcW w:w="3071" w:type="dxa"/>
            <w:tcBorders>
              <w:bottom w:val="nil"/>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Określenie położenia oraz istotnych cech domu jednorodzinnego albo budynku, w którym ma znajdować się lokal mieszkalny będący przedmiotem umowy rezerwacyjnej albo umowy deweloperskiej, albo umowy, o której mowa w art. 2 ust. 1 pkt 2, 3 lub 5 lub umów, o których mowa w art. 2 ust. 2 ustawy z dnia 20 maja 2021 roku o ochronie praw nabywcy lokalu mieszkalnego lub domu jednorodzinnego oraz o Deweloperskim Funduszu Gwarancyjnym</w:t>
            </w:r>
          </w:p>
        </w:tc>
        <w:tc>
          <w:tcPr>
            <w:tcW w:w="3068" w:type="dxa"/>
            <w:vMerge w:val="restart"/>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Liczba kondygnacji</w:t>
            </w:r>
          </w:p>
        </w:tc>
        <w:tc>
          <w:tcPr>
            <w:tcW w:w="2905" w:type="dxa"/>
            <w:vMerge w:val="restart"/>
            <w:tcBorders/>
          </w:tcPr>
          <w:p>
            <w:pPr>
              <w:pStyle w:val="Normal"/>
              <w:widowControl/>
              <w:suppressAutoHyphens w:val="true"/>
              <w:spacing w:lineRule="auto" w:line="300" w:before="0" w:after="0"/>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Inwestycja obejmuje budowę trzydziestu budynków mieszkalnych, jednorodzinnych dwulokalowych, niepodpiwniczonych w zabudowie bliźniaczej.</w:t>
            </w:r>
          </w:p>
        </w:tc>
      </w:tr>
      <w:tr>
        <w:trPr>
          <w:trHeight w:val="56" w:hRule="atLeast"/>
        </w:trPr>
        <w:tc>
          <w:tcPr>
            <w:tcW w:w="3071" w:type="dxa"/>
            <w:tcBorders>
              <w:top w:val="nil"/>
              <w:bottom w:val="nil"/>
            </w:tcBorders>
            <w:shd w:color="auto" w:fill="F2F2F2" w:val="clear"/>
          </w:tcPr>
          <w:p>
            <w:pPr>
              <w:pStyle w:val="Normal"/>
              <w:widowControl/>
              <w:suppressAutoHyphens w:val="true"/>
              <w:spacing w:lineRule="auto" w:line="240" w:before="144" w:after="144"/>
              <w:jc w:val="left"/>
              <w:rPr>
                <w:b/>
              </w:rPr>
            </w:pPr>
            <w:r>
              <w:rPr>
                <w:b/>
              </w:rPr>
            </w:r>
          </w:p>
        </w:tc>
        <w:tc>
          <w:tcPr>
            <w:tcW w:w="3068" w:type="dxa"/>
            <w:vMerge w:val="continue"/>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r>
          </w:p>
        </w:tc>
        <w:tc>
          <w:tcPr>
            <w:tcW w:w="2905" w:type="dxa"/>
            <w:vMerge w:val="continue"/>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r>
          </w:p>
        </w:tc>
      </w:tr>
      <w:tr>
        <w:trPr/>
        <w:tc>
          <w:tcPr>
            <w:tcW w:w="3071" w:type="dxa"/>
            <w:tcBorders>
              <w:top w:val="nil"/>
            </w:tcBorders>
            <w:shd w:color="auto" w:fill="F2F2F2" w:val="clear"/>
          </w:tcPr>
          <w:p>
            <w:pPr>
              <w:pStyle w:val="Normal"/>
              <w:widowControl/>
              <w:suppressAutoHyphens w:val="true"/>
              <w:spacing w:lineRule="auto" w:line="240" w:before="144" w:after="144"/>
              <w:jc w:val="left"/>
              <w:rPr>
                <w:b/>
              </w:rPr>
            </w:pPr>
            <w:r>
              <w:rPr>
                <w:b/>
              </w:rPr>
            </w:r>
          </w:p>
        </w:tc>
        <w:tc>
          <w:tcPr>
            <w:tcW w:w="3068"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Technologia wykonania</w:t>
            </w:r>
          </w:p>
        </w:tc>
        <w:tc>
          <w:tcPr>
            <w:tcW w:w="2905"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Płyta fundamentowa lub ławy i stopy żelbetowe. Ściany zewnętrzne i wewnętrzne kondygnacji podziemnych murowane lub żelbetowe. Ściany wewnętrzne i zewnętrzne kondygnacji nadziemnych murowane lub z żelbetu. Schody wewnętrzne żelbetowe lub stalowe. Stropy zostały zaprojektowane jako żelbetowe. Zaprojektowano dach w konstrukcji tradycyjnej drewnianej.</w:t>
            </w:r>
          </w:p>
        </w:tc>
      </w:tr>
      <w:tr>
        <w:trPr/>
        <w:tc>
          <w:tcPr>
            <w:tcW w:w="3071" w:type="dxa"/>
            <w:tcBorders>
              <w:bottom w:val="nil"/>
            </w:tcBorders>
            <w:shd w:color="auto" w:fill="F2F2F2" w:val="clear"/>
          </w:tcPr>
          <w:p>
            <w:pPr>
              <w:pStyle w:val="Normal"/>
              <w:widowControl/>
              <w:suppressAutoHyphens w:val="true"/>
              <w:spacing w:lineRule="auto" w:line="240" w:before="144" w:after="144"/>
              <w:jc w:val="left"/>
              <w:rPr>
                <w:b/>
              </w:rPr>
            </w:pPr>
            <w:r>
              <w:rPr>
                <w:b/>
              </w:rPr>
            </w:r>
          </w:p>
        </w:tc>
        <w:tc>
          <w:tcPr>
            <w:tcW w:w="3068"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Standard prac wykończeniowych w części wspólnej budynku i terenie wokół niego, stanowiącym część wspólną nieruchomości</w:t>
            </w:r>
          </w:p>
        </w:tc>
        <w:tc>
          <w:tcPr>
            <w:tcW w:w="2905"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Zgodnie z załącznikiem nr 2 do prospektu</w:t>
            </w:r>
          </w:p>
        </w:tc>
      </w:tr>
      <w:tr>
        <w:trPr/>
        <w:tc>
          <w:tcPr>
            <w:tcW w:w="3071" w:type="dxa"/>
            <w:tcBorders>
              <w:top w:val="nil"/>
              <w:bottom w:val="nil"/>
            </w:tcBorders>
            <w:shd w:color="auto" w:fill="F2F2F2" w:val="clear"/>
          </w:tcPr>
          <w:p>
            <w:pPr>
              <w:pStyle w:val="Normal"/>
              <w:widowControl/>
              <w:suppressAutoHyphens w:val="true"/>
              <w:spacing w:lineRule="auto" w:line="240" w:before="144" w:after="144"/>
              <w:jc w:val="left"/>
              <w:rPr>
                <w:b/>
              </w:rPr>
            </w:pPr>
            <w:r>
              <w:rPr>
                <w:b/>
              </w:rPr>
            </w:r>
          </w:p>
        </w:tc>
        <w:tc>
          <w:tcPr>
            <w:tcW w:w="3068"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Liczba lokali w budynku</w:t>
            </w:r>
          </w:p>
        </w:tc>
        <w:tc>
          <w:tcPr>
            <w:tcW w:w="2905"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2</w:t>
            </w:r>
          </w:p>
        </w:tc>
      </w:tr>
      <w:tr>
        <w:trPr/>
        <w:tc>
          <w:tcPr>
            <w:tcW w:w="3071" w:type="dxa"/>
            <w:tcBorders>
              <w:top w:val="nil"/>
              <w:bottom w:val="nil"/>
            </w:tcBorders>
            <w:shd w:color="auto" w:fill="F2F2F2" w:val="clear"/>
          </w:tcPr>
          <w:p>
            <w:pPr>
              <w:pStyle w:val="Normal"/>
              <w:widowControl/>
              <w:suppressAutoHyphens w:val="true"/>
              <w:spacing w:lineRule="auto" w:line="240" w:before="144" w:after="144"/>
              <w:jc w:val="left"/>
              <w:rPr>
                <w:b/>
              </w:rPr>
            </w:pPr>
            <w:r>
              <w:rPr>
                <w:b/>
              </w:rPr>
            </w:r>
          </w:p>
        </w:tc>
        <w:tc>
          <w:tcPr>
            <w:tcW w:w="3068"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Liczba miejsc garażowych i postojowych</w:t>
            </w:r>
          </w:p>
        </w:tc>
        <w:tc>
          <w:tcPr>
            <w:tcW w:w="2905"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Min. 1 stanowisko na lokal mieszkalny</w:t>
            </w:r>
          </w:p>
        </w:tc>
      </w:tr>
      <w:tr>
        <w:trPr/>
        <w:tc>
          <w:tcPr>
            <w:tcW w:w="3071" w:type="dxa"/>
            <w:tcBorders>
              <w:top w:val="nil"/>
              <w:bottom w:val="nil"/>
            </w:tcBorders>
            <w:shd w:color="auto" w:fill="F2F2F2" w:val="clear"/>
          </w:tcPr>
          <w:p>
            <w:pPr>
              <w:pStyle w:val="Normal"/>
              <w:widowControl/>
              <w:suppressAutoHyphens w:val="true"/>
              <w:spacing w:lineRule="auto" w:line="240" w:before="144" w:after="144"/>
              <w:jc w:val="left"/>
              <w:rPr>
                <w:b/>
              </w:rPr>
            </w:pPr>
            <w:r>
              <w:rPr>
                <w:b/>
              </w:rPr>
            </w:r>
          </w:p>
        </w:tc>
        <w:tc>
          <w:tcPr>
            <w:tcW w:w="3068"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Dostępne media w budynku</w:t>
            </w:r>
          </w:p>
        </w:tc>
        <w:tc>
          <w:tcPr>
            <w:tcW w:w="2905" w:type="dxa"/>
            <w:tcBorders/>
          </w:tcPr>
          <w:p>
            <w:pPr>
              <w:pStyle w:val="Normal"/>
              <w:widowControl/>
              <w:suppressAutoHyphens w:val="true"/>
              <w:spacing w:lineRule="auto" w:line="240" w:before="144" w:after="144"/>
              <w:jc w:val="left"/>
              <w:rPr>
                <w:b/>
              </w:rPr>
            </w:pPr>
            <w:r>
              <w:rPr>
                <w:rFonts w:eastAsia="Times New Roman" w:cs="Times New Roman" w:ascii="Times New Roman" w:hAnsi="Times New Roman"/>
                <w:kern w:val="0"/>
                <w:sz w:val="20"/>
                <w:szCs w:val="20"/>
                <w:lang w:val="pl-PL" w:eastAsia="pl-PL" w:bidi="ar-SA"/>
              </w:rPr>
              <w:t>energia elektryczna, CO, CWU, woda i kanalizacja, teletechniczna, wentylacja mechaniczna wywiewna</w:t>
            </w:r>
          </w:p>
        </w:tc>
      </w:tr>
      <w:tr>
        <w:trPr/>
        <w:tc>
          <w:tcPr>
            <w:tcW w:w="3071" w:type="dxa"/>
            <w:tcBorders>
              <w:top w:val="nil"/>
            </w:tcBorders>
            <w:shd w:color="auto" w:fill="F2F2F2" w:val="clear"/>
          </w:tcPr>
          <w:p>
            <w:pPr>
              <w:pStyle w:val="Normal"/>
              <w:widowControl/>
              <w:suppressAutoHyphens w:val="true"/>
              <w:spacing w:lineRule="auto" w:line="240" w:before="144" w:after="144"/>
              <w:jc w:val="left"/>
              <w:rPr>
                <w:b/>
              </w:rPr>
            </w:pPr>
            <w:r>
              <w:rPr>
                <w:b/>
              </w:rPr>
            </w:r>
          </w:p>
        </w:tc>
        <w:tc>
          <w:tcPr>
            <w:tcW w:w="3068" w:type="dxa"/>
            <w:tcBorders/>
          </w:tcPr>
          <w:p>
            <w:pPr>
              <w:pStyle w:val="Normal"/>
              <w:widowControl/>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Dostęp do drogi publicznej</w:t>
            </w:r>
          </w:p>
        </w:tc>
        <w:tc>
          <w:tcPr>
            <w:tcW w:w="2905" w:type="dxa"/>
            <w:tcBorders/>
          </w:tcPr>
          <w:p>
            <w:pPr>
              <w:pStyle w:val="Normal"/>
              <w:widowControl/>
              <w:suppressAutoHyphens w:val="true"/>
              <w:spacing w:lineRule="auto" w:line="240" w:before="144" w:after="144"/>
              <w:jc w:val="left"/>
              <w:rPr>
                <w:bCs/>
              </w:rPr>
            </w:pPr>
            <w:r>
              <w:rPr>
                <w:rFonts w:eastAsia="Times New Roman" w:cs="Times New Roman" w:ascii="Times New Roman" w:hAnsi="Times New Roman"/>
                <w:bCs/>
                <w:kern w:val="0"/>
                <w:sz w:val="20"/>
                <w:szCs w:val="20"/>
                <w:lang w:val="pl-PL" w:eastAsia="pl-PL" w:bidi="ar-SA"/>
              </w:rPr>
              <w:t>Zapewniono – ul. Bukowa</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Określenie usytuowania lokalu mieszkalnego w budynku, jeżeli przedsięwzięcie deweloperskie albo zadanie inwestycyjne dotyczy lokali mieszkalnych</w:t>
            </w:r>
          </w:p>
        </w:tc>
        <w:tc>
          <w:tcPr>
            <w:tcW w:w="5973" w:type="dxa"/>
            <w:gridSpan w:val="2"/>
            <w:tcBorders/>
          </w:tcPr>
          <w:p>
            <w:pPr>
              <w:pStyle w:val="Normal"/>
              <w:widowControl/>
              <w:suppressAutoHyphens w:val="true"/>
              <w:spacing w:lineRule="auto" w:line="240" w:before="144" w:after="144"/>
              <w:jc w:val="left"/>
              <w:rPr>
                <w:bCs/>
              </w:rPr>
            </w:pPr>
            <w:r>
              <w:rPr>
                <w:rFonts w:eastAsia="Times New Roman" w:cs="Times New Roman" w:ascii="Times New Roman" w:hAnsi="Times New Roman"/>
                <w:bCs/>
                <w:kern w:val="0"/>
                <w:sz w:val="20"/>
                <w:szCs w:val="20"/>
                <w:lang w:val="pl-PL" w:eastAsia="pl-PL" w:bidi="ar-SA"/>
              </w:rPr>
              <w:t>Według karty lokalu</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Określenie powierzchni użytkowej i układu pomieszczeń oraz zakresu i standardu prac wykończeniowych, do których wykonania zobowiązuje się deweloper</w:t>
            </w:r>
          </w:p>
        </w:tc>
        <w:tc>
          <w:tcPr>
            <w:tcW w:w="5973" w:type="dxa"/>
            <w:gridSpan w:val="2"/>
            <w:tcBorders/>
          </w:tcPr>
          <w:p>
            <w:pPr>
              <w:pStyle w:val="Normal"/>
              <w:widowControl/>
              <w:suppressAutoHyphens w:val="true"/>
              <w:spacing w:lineRule="auto" w:line="240" w:before="144" w:after="144"/>
              <w:jc w:val="left"/>
              <w:rPr>
                <w:bCs/>
              </w:rPr>
            </w:pPr>
            <w:r>
              <w:rPr>
                <w:rFonts w:eastAsia="Times New Roman" w:cs="Times New Roman" w:ascii="Times New Roman" w:hAnsi="Times New Roman"/>
                <w:bCs/>
                <w:kern w:val="0"/>
                <w:sz w:val="20"/>
                <w:szCs w:val="20"/>
                <w:lang w:val="pl-PL" w:eastAsia="pl-PL" w:bidi="ar-SA"/>
              </w:rPr>
              <w:t>Układ pomieszczeń i ich powierzchni zgodnie z kartą lokalu. Standard deweloperski prac wykończeniowych lokalu określa Załącznik nr. 2 do niniejszego prospektu informacyjnego.</w:t>
            </w:r>
          </w:p>
        </w:tc>
      </w:tr>
      <w:tr>
        <w:trPr>
          <w:trHeight w:val="1035" w:hRule="atLeast"/>
        </w:trPr>
        <w:tc>
          <w:tcPr>
            <w:tcW w:w="3071" w:type="dxa"/>
            <w:tcBorders/>
            <w:shd w:color="auto" w:fill="F2F2F2" w:val="clear"/>
          </w:tcPr>
          <w:p>
            <w:pPr>
              <w:pStyle w:val="Normal"/>
              <w:widowControl w:val="false"/>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Data wydania zaświadczenia o samodzielności lokalu mieszkalnego</w:t>
            </w:r>
          </w:p>
        </w:tc>
        <w:tc>
          <w:tcPr>
            <w:tcW w:w="5973" w:type="dxa"/>
            <w:gridSpan w:val="2"/>
            <w:tcBorders/>
          </w:tcPr>
          <w:p>
            <w:pPr>
              <w:pStyle w:val="Normal"/>
              <w:widowControl/>
              <w:suppressAutoHyphens w:val="true"/>
              <w:spacing w:lineRule="auto" w:line="240" w:before="144" w:after="144"/>
              <w:jc w:val="left"/>
              <w:rPr>
                <w:b w:val="false"/>
                <w:bCs w:val="false"/>
                <w:color w:val="auto"/>
                <w:highlight w:val="none"/>
                <w:shd w:fill="auto" w:val="clear"/>
              </w:rPr>
            </w:pPr>
            <w:r>
              <w:rPr>
                <w:b w:val="false"/>
                <w:bCs w:val="false"/>
                <w:color w:val="000000"/>
                <w:shd w:fill="auto" w:val="clear"/>
              </w:rPr>
              <w:t>Nie dotyczy</w:t>
            </w:r>
          </w:p>
        </w:tc>
      </w:tr>
      <w:tr>
        <w:trPr>
          <w:trHeight w:val="1050" w:hRule="atLeast"/>
        </w:trPr>
        <w:tc>
          <w:tcPr>
            <w:tcW w:w="3071" w:type="dxa"/>
            <w:tcBorders/>
            <w:shd w:color="auto" w:fill="F2F2F2" w:val="clear"/>
          </w:tcPr>
          <w:p>
            <w:pPr>
              <w:pStyle w:val="Normal"/>
              <w:widowControl w:val="false"/>
              <w:suppressAutoHyphens w:val="true"/>
              <w:spacing w:lineRule="auto" w:line="240" w:before="144" w:after="144"/>
              <w:jc w:val="left"/>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Data ustanowienia odrębnej własności lokalu mieszkalnego</w:t>
            </w:r>
          </w:p>
        </w:tc>
        <w:tc>
          <w:tcPr>
            <w:tcW w:w="5973" w:type="dxa"/>
            <w:gridSpan w:val="2"/>
            <w:tcBorders/>
          </w:tcPr>
          <w:p>
            <w:pPr>
              <w:pStyle w:val="Normal"/>
              <w:widowControl/>
              <w:suppressAutoHyphens w:val="true"/>
              <w:spacing w:lineRule="auto" w:line="240" w:before="144" w:after="144"/>
              <w:jc w:val="left"/>
              <w:rPr>
                <w:b w:val="false"/>
                <w:bCs w:val="false"/>
                <w:color w:val="auto"/>
              </w:rPr>
            </w:pPr>
            <w:r>
              <w:rPr>
                <w:b w:val="false"/>
                <w:bCs w:val="false"/>
                <w:color w:val="auto"/>
              </w:rPr>
              <w:t>Nie dotyczy</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Informacje o lokalu użytkowym nabywanym równocześnie z lokalem mieszkalnym albo domem jednorodzinnym</w:t>
            </w:r>
          </w:p>
        </w:tc>
        <w:tc>
          <w:tcPr>
            <w:tcW w:w="5973" w:type="dxa"/>
            <w:gridSpan w:val="2"/>
            <w:tcBorders/>
          </w:tcPr>
          <w:p>
            <w:pPr>
              <w:pStyle w:val="Normal"/>
              <w:widowControl/>
              <w:suppressAutoHyphens w:val="true"/>
              <w:spacing w:lineRule="auto" w:line="240" w:before="144" w:after="144"/>
              <w:jc w:val="left"/>
              <w:rPr>
                <w:color w:val="auto"/>
              </w:rPr>
            </w:pPr>
            <w:r>
              <w:rPr>
                <w:rFonts w:eastAsia="Times New Roman" w:cs="Times New Roman" w:ascii="Times New Roman" w:hAnsi="Times New Roman"/>
                <w:color w:val="auto"/>
                <w:kern w:val="0"/>
                <w:sz w:val="20"/>
                <w:szCs w:val="20"/>
                <w:lang w:val="pl-PL" w:eastAsia="pl-PL" w:bidi="ar-SA"/>
              </w:rPr>
              <w:t>Nie dotyczy</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Cenę lokalu użytkowego albo ułamkowej części własności lokalu użytkowego</w:t>
            </w:r>
          </w:p>
        </w:tc>
        <w:tc>
          <w:tcPr>
            <w:tcW w:w="5973" w:type="dxa"/>
            <w:gridSpan w:val="2"/>
            <w:tcBorders/>
          </w:tcPr>
          <w:p>
            <w:pPr>
              <w:pStyle w:val="Normal"/>
              <w:widowControl/>
              <w:suppressAutoHyphens w:val="true"/>
              <w:spacing w:lineRule="auto" w:line="240" w:before="144" w:after="144"/>
              <w:jc w:val="left"/>
              <w:rPr>
                <w:b w:val="false"/>
                <w:bCs w:val="false"/>
                <w:color w:val="auto"/>
              </w:rPr>
            </w:pPr>
            <w:r>
              <w:rPr>
                <w:b w:val="false"/>
                <w:bCs w:val="false"/>
                <w:color w:val="auto"/>
              </w:rPr>
              <w:t>Nie dotyczy</w:t>
            </w:r>
          </w:p>
        </w:tc>
      </w:tr>
      <w:tr>
        <w:trPr/>
        <w:tc>
          <w:tcPr>
            <w:tcW w:w="3071" w:type="dxa"/>
            <w:tcBorders/>
            <w:shd w:color="auto" w:fill="F2F2F2" w:val="clear"/>
          </w:tcPr>
          <w:p>
            <w:pPr>
              <w:pStyle w:val="Normal"/>
              <w:widowControl/>
              <w:suppressAutoHyphens w:val="true"/>
              <w:spacing w:lineRule="auto" w:line="240" w:before="144" w:after="144"/>
              <w:jc w:val="both"/>
              <w:rPr>
                <w:rFonts w:ascii="Times New Roman" w:hAnsi="Times New Roman" w:eastAsia="Times New Roman" w:cs="Times New Roman"/>
                <w:kern w:val="0"/>
                <w:sz w:val="20"/>
                <w:szCs w:val="20"/>
                <w:lang w:val="pl-PL" w:eastAsia="pl-PL" w:bidi="ar-SA"/>
              </w:rPr>
            </w:pPr>
            <w:r>
              <w:rPr>
                <w:rFonts w:eastAsia="Times New Roman" w:cs="Times New Roman" w:ascii="Times New Roman" w:hAnsi="Times New Roman"/>
                <w:kern w:val="0"/>
                <w:sz w:val="20"/>
                <w:szCs w:val="20"/>
                <w:lang w:val="pl-PL" w:eastAsia="pl-PL" w:bidi="ar-SA"/>
              </w:rPr>
              <w:t>Termin, do którego nastąpi przeniesienie prawa własności lokalu użytkowego albo ułamkowej części własności lokalu użytkowego</w:t>
            </w:r>
          </w:p>
        </w:tc>
        <w:tc>
          <w:tcPr>
            <w:tcW w:w="5973" w:type="dxa"/>
            <w:gridSpan w:val="2"/>
            <w:tcBorders/>
          </w:tcPr>
          <w:p>
            <w:pPr>
              <w:pStyle w:val="Normal"/>
              <w:widowControl/>
              <w:suppressAutoHyphens w:val="true"/>
              <w:spacing w:lineRule="auto" w:line="240" w:before="144" w:after="144"/>
              <w:jc w:val="left"/>
              <w:rPr>
                <w:color w:val="auto"/>
              </w:rPr>
            </w:pPr>
            <w:r>
              <w:rPr>
                <w:rFonts w:eastAsia="Times New Roman" w:cs="Times New Roman" w:ascii="Times New Roman" w:hAnsi="Times New Roman"/>
                <w:bCs/>
                <w:color w:val="000000"/>
                <w:kern w:val="0"/>
                <w:sz w:val="20"/>
                <w:szCs w:val="20"/>
                <w:shd w:fill="auto" w:val="clear"/>
                <w:lang w:val="pl-PL" w:eastAsia="pl-PL" w:bidi="ar-SA"/>
              </w:rPr>
              <w:t>Nie dotyczy</w:t>
            </w:r>
          </w:p>
        </w:tc>
      </w:tr>
    </w:tbl>
    <w:p>
      <w:pPr>
        <w:pStyle w:val="Normal"/>
        <w:spacing w:lineRule="auto" w:line="240" w:before="144" w:after="144"/>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t>Podpis osoby upoważnionej do reprezentacji dewelopera</w:t>
      </w:r>
    </w:p>
    <w:p>
      <w:pPr>
        <w:pStyle w:val="Normal"/>
        <w:spacing w:lineRule="auto" w:line="240" w:before="144" w:after="144"/>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right"/>
        <w:rPr>
          <w:rFonts w:ascii="Times New Roman" w:hAnsi="Times New Roman" w:eastAsia="Times New Roman" w:cs="Times New Roman"/>
          <w:b/>
          <w:sz w:val="20"/>
          <w:szCs w:val="20"/>
        </w:rPr>
      </w:pPr>
      <w:r>
        <w:rPr>
          <w:rFonts w:eastAsia="Times New Roman" w:cs="Times New Roman" w:ascii="Times New Roman" w:hAnsi="Times New Roman"/>
          <w:b/>
          <w:sz w:val="20"/>
          <w:szCs w:val="20"/>
        </w:rPr>
        <w:t>…</w:t>
      </w:r>
      <w:r>
        <w:rPr>
          <w:rFonts w:eastAsia="Times New Roman" w:cs="Times New Roman" w:ascii="Times New Roman" w:hAnsi="Times New Roman"/>
          <w:b/>
          <w:sz w:val="20"/>
          <w:szCs w:val="20"/>
        </w:rPr>
        <w:t>...………………………………….</w:t>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mc:AlternateContent>
          <mc:Choice Requires="wps">
            <w:drawing>
              <wp:anchor behindDoc="0" distT="14605" distB="14605" distL="14605" distR="14605" simplePos="0" locked="0" layoutInCell="1" allowOverlap="1" relativeHeight="2" wp14:anchorId="49396657">
                <wp:simplePos x="0" y="0"/>
                <wp:positionH relativeFrom="column">
                  <wp:posOffset>-800100</wp:posOffset>
                </wp:positionH>
                <wp:positionV relativeFrom="paragraph">
                  <wp:posOffset>10160</wp:posOffset>
                </wp:positionV>
                <wp:extent cx="7543800" cy="0"/>
                <wp:effectExtent l="14605" t="14605" r="14605" b="14605"/>
                <wp:wrapNone/>
                <wp:docPr id="1" name="Line 20"/>
                <a:graphic xmlns:a="http://schemas.openxmlformats.org/drawingml/2006/main">
                  <a:graphicData uri="http://schemas.microsoft.com/office/word/2010/wordprocessingShape">
                    <wps:wsp>
                      <wps:cNvSpPr/>
                      <wps:spPr>
                        <a:xfrm>
                          <a:off x="0" y="0"/>
                          <a:ext cx="7543800" cy="0"/>
                        </a:xfrm>
                        <a:prstGeom prst="line">
                          <a:avLst/>
                        </a:prstGeom>
                        <a:ln w="28575">
                          <a:solidFill>
                            <a:srgbClr val="000000"/>
                          </a:solidFill>
                          <a:round/>
                        </a:ln>
                      </wps:spPr>
                      <wps:style>
                        <a:lnRef idx="0"/>
                        <a:fillRef idx="0"/>
                        <a:effectRef idx="0"/>
                        <a:fontRef idx="minor"/>
                      </wps:style>
                      <wps:bodyPr/>
                    </wps:wsp>
                  </a:graphicData>
                </a:graphic>
              </wp:anchor>
            </w:drawing>
          </mc:Choice>
          <mc:Fallback>
            <w:pict>
              <v:line id="shape_0" from="-63pt,0.8pt" to="530.95pt,0.8pt" ID="Line 20" stroked="t" o:allowincell="f" style="position:absolute" wp14:anchorId="49396657">
                <v:stroke color="black" weight="28440" joinstyle="round" endcap="flat"/>
                <v:fill o:detectmouseclick="t" on="false"/>
                <w10:wrap type="none"/>
              </v:line>
            </w:pict>
          </mc:Fallback>
        </mc:AlternateContent>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Załączniki:</w:t>
      </w:r>
    </w:p>
    <w:p>
      <w:pPr>
        <w:pStyle w:val="Normal"/>
        <w:spacing w:lineRule="auto" w:line="240" w:before="144" w:after="144"/>
        <w:jc w:val="both"/>
        <w:rPr>
          <w:rFonts w:ascii="Times New Roman" w:hAnsi="Times New Roman"/>
        </w:rPr>
      </w:pPr>
      <w:r>
        <w:rPr>
          <w:rFonts w:eastAsia="Times New Roman" w:cs="Times New Roman" w:ascii="Times New Roman" w:hAnsi="Times New Roman"/>
          <w:sz w:val="20"/>
          <w:szCs w:val="20"/>
        </w:rPr>
        <w:t>1. Rzut kondygnacji z zaznaczeniem lokalu mieszkalnego.</w:t>
      </w:r>
    </w:p>
    <w:p>
      <w:pPr>
        <w:pStyle w:val="Normal"/>
        <w:spacing w:lineRule="auto" w:line="240" w:before="144" w:after="144"/>
        <w:jc w:val="both"/>
        <w:rPr>
          <w:rFonts w:ascii="Times New Roman" w:hAnsi="Times New Roman"/>
        </w:rPr>
      </w:pPr>
      <w:r>
        <w:rPr>
          <w:rFonts w:eastAsia="Times New Roman" w:cs="Times New Roman" w:ascii="Times New Roman" w:hAnsi="Times New Roman"/>
          <w:sz w:val="20"/>
          <w:szCs w:val="20"/>
        </w:rPr>
        <w:t>2. Szkic koncepcji zagospodarowania terenu inwestycji i jego otoczenia z zaznaczeniem budynku oraz istotnych uwarunkowań lokalizacji inwestycji wynikających z przepisów odrębnych oraz z istniejącego i planowanego stanu użytkowania terenów sąsiednich (np. z funkcji terenu, stref ochronnych, uciążliwości).</w:t>
      </w:r>
    </w:p>
    <w:p>
      <w:pPr>
        <w:pStyle w:val="Normal"/>
        <w:spacing w:lineRule="auto" w:line="240" w:before="144" w:after="144"/>
        <w:jc w:val="both"/>
        <w:rPr>
          <w:rFonts w:ascii="Times New Roman" w:hAnsi="Times New Roman"/>
          <w:color w:val="auto"/>
        </w:rPr>
      </w:pPr>
      <w:r>
        <w:rPr>
          <w:rFonts w:ascii="Times New Roman" w:hAnsi="Times New Roman"/>
          <w:color w:val="auto"/>
          <w:sz w:val="20"/>
          <w:szCs w:val="20"/>
        </w:rPr>
        <w:t>3. Zakres i  standard prac wykończeniowych</w:t>
      </w:r>
    </w:p>
    <w:p>
      <w:pPr>
        <w:pStyle w:val="Header"/>
        <w:rPr>
          <w:rFonts w:ascii="Times New Roman" w:hAnsi="Times New Roman"/>
          <w:color w:val="auto"/>
          <w:sz w:val="20"/>
          <w:szCs w:val="20"/>
        </w:rPr>
      </w:pPr>
      <w:r>
        <w:rPr>
          <w:rFonts w:ascii="Times New Roman" w:hAnsi="Times New Roman"/>
          <w:color w:val="auto"/>
          <w:sz w:val="20"/>
          <w:szCs w:val="20"/>
        </w:rPr>
        <w:t>4. Fundusz, odbiór, odstąpienia</w:t>
      </w:r>
    </w:p>
    <w:p>
      <w:pPr>
        <w:pStyle w:val="Header"/>
        <w:rPr/>
      </w:pPr>
      <w:r>
        <w:rPr/>
      </w:r>
    </w:p>
    <w:p>
      <w:pPr>
        <w:pStyle w:val="Header"/>
        <w:rPr>
          <w:rFonts w:ascii="Times New Roman" w:hAnsi="Times New Roman"/>
          <w:color w:val="auto"/>
          <w:sz w:val="20"/>
          <w:szCs w:val="20"/>
        </w:rPr>
      </w:pPr>
      <w:r>
        <w:rPr>
          <w:rFonts w:eastAsia="Times New Roman" w:cs="Times New Roman" w:ascii="Times New Roman" w:hAnsi="Times New Roman"/>
          <w:color w:val="auto"/>
          <w:sz w:val="20"/>
          <w:szCs w:val="20"/>
        </w:rPr>
        <w:t xml:space="preserve">5. Wzór umowy deweloperskiej lub umowy, o której mowa w art. 2 ust. 1 pkt 2, 3 lub 5 ustawy z dnia </w:t>
      </w:r>
      <w:r>
        <w:rPr>
          <w:rFonts w:eastAsia="Times New Roman" w:cs="Times New Roman" w:ascii="Times New Roman" w:hAnsi="Times New Roman"/>
          <w:color w:val="000000"/>
          <w:sz w:val="20"/>
          <w:szCs w:val="20"/>
          <w:shd w:fill="auto" w:val="clear"/>
        </w:rPr>
        <w:t>20 maja 20121 roku ochronie praw nabywcy lokalu mieszkalnego lub domu jednorodzinnego oraz o Dewelo</w:t>
      </w:r>
      <w:r>
        <w:rPr>
          <w:rFonts w:eastAsia="Times New Roman" w:cs="Times New Roman" w:ascii="Times New Roman" w:hAnsi="Times New Roman"/>
          <w:color w:val="auto"/>
          <w:sz w:val="20"/>
          <w:szCs w:val="20"/>
        </w:rPr>
        <w:t>perskim Funduszu Gwarancyjnym.</w:t>
      </w:r>
    </w:p>
    <w:p>
      <w:pPr>
        <w:pStyle w:val="Header"/>
        <w:rPr>
          <w:rFonts w:eastAsia="Times New Roman" w:cs="Times New Roman"/>
        </w:rPr>
      </w:pPr>
      <w:r>
        <w:rPr>
          <w:rFonts w:eastAsia="Times New Roman" w:cs="Times New Roman"/>
        </w:rPr>
      </w:r>
    </w:p>
    <w:p>
      <w:pPr>
        <w:pStyle w:val="Header"/>
        <w:rPr>
          <w:rFonts w:ascii="Times New Roman" w:hAnsi="Times New Roman"/>
          <w:color w:val="auto"/>
          <w:sz w:val="20"/>
          <w:szCs w:val="20"/>
        </w:rPr>
      </w:pPr>
      <w:r>
        <w:rPr>
          <w:rFonts w:eastAsia="Times New Roman" w:cs="Times New Roman" w:ascii="Times New Roman" w:hAnsi="Times New Roman"/>
          <w:color w:val="auto"/>
          <w:sz w:val="20"/>
          <w:szCs w:val="20"/>
        </w:rPr>
        <w:t xml:space="preserve">6. Harmonogram przedsięwzięcia deweloperskiego </w:t>
      </w:r>
    </w:p>
    <w:p>
      <w:pPr>
        <w:pStyle w:val="Header"/>
        <w:rPr>
          <w:rFonts w:eastAsia="Times New Roman" w:cs="Times New Roman"/>
        </w:rPr>
      </w:pPr>
      <w:r>
        <w:rPr>
          <w:rFonts w:eastAsia="Times New Roman" w:cs="Times New Roman"/>
        </w:rPr>
      </w:r>
    </w:p>
    <w:p>
      <w:pPr>
        <w:pStyle w:val="Header"/>
        <w:rPr>
          <w:rFonts w:ascii="Times New Roman" w:hAnsi="Times New Roman"/>
          <w:color w:val="auto"/>
          <w:sz w:val="20"/>
          <w:szCs w:val="20"/>
        </w:rPr>
      </w:pPr>
      <w:r>
        <w:rPr>
          <w:rFonts w:eastAsia="Times New Roman" w:cs="Times New Roman" w:ascii="Times New Roman" w:hAnsi="Times New Roman"/>
          <w:color w:val="auto"/>
          <w:sz w:val="20"/>
          <w:szCs w:val="20"/>
        </w:rPr>
        <w:t>7</w:t>
      </w:r>
      <w:r>
        <w:rPr>
          <w:rFonts w:eastAsia="Times New Roman" w:cs="Times New Roman" w:ascii="Times New Roman" w:hAnsi="Times New Roman"/>
          <w:color w:val="000000"/>
          <w:sz w:val="20"/>
          <w:szCs w:val="20"/>
          <w:shd w:fill="auto" w:val="clear"/>
        </w:rPr>
        <w:t xml:space="preserve">. Informacje dotyczące przewidzianych inwestycji </w:t>
      </w:r>
    </w:p>
    <w:p>
      <w:pPr>
        <w:pStyle w:val="Normal"/>
        <w:spacing w:lineRule="auto" w:line="240" w:before="144" w:after="144"/>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mc:AlternateContent>
          <mc:Choice Requires="wps">
            <w:drawing>
              <wp:anchor behindDoc="0" distT="14605" distB="14605" distL="14605" distR="14605" simplePos="0" locked="0" layoutInCell="1" allowOverlap="1" relativeHeight="3" wp14:anchorId="4209C5EF">
                <wp:simplePos x="0" y="0"/>
                <wp:positionH relativeFrom="column">
                  <wp:posOffset>-800100</wp:posOffset>
                </wp:positionH>
                <wp:positionV relativeFrom="paragraph">
                  <wp:posOffset>84455</wp:posOffset>
                </wp:positionV>
                <wp:extent cx="7543800" cy="635"/>
                <wp:effectExtent l="14605" t="14605" r="14605" b="14605"/>
                <wp:wrapNone/>
                <wp:docPr id="2" name="Line 19"/>
                <a:graphic xmlns:a="http://schemas.openxmlformats.org/drawingml/2006/main">
                  <a:graphicData uri="http://schemas.microsoft.com/office/word/2010/wordprocessingShape">
                    <wps:wsp>
                      <wps:cNvSpPr/>
                      <wps:spPr>
                        <a:xfrm>
                          <a:off x="0" y="0"/>
                          <a:ext cx="7543800" cy="720"/>
                        </a:xfrm>
                        <a:prstGeom prst="line">
                          <a:avLst/>
                        </a:prstGeom>
                        <a:ln w="28575">
                          <a:solidFill>
                            <a:srgbClr val="000000"/>
                          </a:solidFill>
                          <a:round/>
                        </a:ln>
                      </wps:spPr>
                      <wps:style>
                        <a:lnRef idx="0"/>
                        <a:fillRef idx="0"/>
                        <a:effectRef idx="0"/>
                        <a:fontRef idx="minor"/>
                      </wps:style>
                      <wps:bodyPr/>
                    </wps:wsp>
                  </a:graphicData>
                </a:graphic>
              </wp:anchor>
            </w:drawing>
          </mc:Choice>
          <mc:Fallback>
            <w:pict>
              <v:line id="shape_0" from="-63pt,6.65pt" to="530.95pt,6.65pt" ID="Line 19" stroked="t" o:allowincell="f" style="position:absolute" wp14:anchorId="4209C5EF">
                <v:stroke color="black" weight="28440" joinstyle="round" endcap="flat"/>
                <v:fill o:detectmouseclick="t" on="false"/>
                <w10:wrap type="none"/>
              </v:line>
            </w:pict>
          </mc:Fallback>
        </mc:AlternateContent>
      </w:r>
    </w:p>
    <w:p>
      <w:pPr>
        <w:pStyle w:val="Normal"/>
        <w:rPr/>
      </w:pPr>
      <w:r>
        <w:rPr/>
      </w:r>
    </w:p>
    <w:p>
      <w:pPr>
        <w:pStyle w:val="Normal"/>
        <w:rPr>
          <w:rFonts w:cs="Calibri" w:cstheme="minorHAnsi"/>
        </w:rPr>
      </w:pPr>
      <w:r>
        <w:rPr>
          <w:rFonts w:cs="Calibri" w:cstheme="minorHAnsi"/>
        </w:rPr>
      </w:r>
    </w:p>
    <w:p>
      <w:pPr>
        <w:pStyle w:val="Normal"/>
        <w:keepNext w:val="true"/>
        <w:keepLines/>
        <w:numPr>
          <w:ilvl w:val="0"/>
          <w:numId w:val="0"/>
        </w:numPr>
        <w:spacing w:lineRule="auto" w:line="276" w:before="480" w:after="0"/>
        <w:ind w:hanging="0" w:left="0"/>
        <w:outlineLvl w:val="0"/>
        <w:rPr>
          <w:rFonts w:eastAsia="MS Gothic" w:cs="Calibri" w:cstheme="minorHAnsi"/>
          <w:b/>
          <w:bCs/>
          <w:color w:themeColor="accent1" w:themeShade="bf" w:val="2F5496"/>
          <w:kern w:val="0"/>
          <w:sz w:val="28"/>
          <w:szCs w:val="28"/>
          <w14:ligatures w14:val="none"/>
        </w:rPr>
      </w:pPr>
      <w:r>
        <w:rPr>
          <w:rFonts w:eastAsia="MS Gothic" w:cs="Calibri" w:cstheme="minorHAnsi"/>
          <w:b/>
          <w:bCs/>
          <w:color w:themeColor="accent1" w:themeShade="bf" w:val="2F5496"/>
          <w:kern w:val="0"/>
          <w:sz w:val="28"/>
          <w:szCs w:val="28"/>
          <w14:ligatures w14:val="none"/>
        </w:rPr>
      </w:r>
      <w:r>
        <w:br w:type="page"/>
      </w:r>
    </w:p>
    <w:p>
      <w:pPr>
        <w:pStyle w:val="Normal"/>
        <w:spacing w:before="0" w:after="160"/>
        <w:rPr/>
      </w:pPr>
      <w:r>
        <w:rPr/>
      </w:r>
    </w:p>
    <w:sectPr>
      <w:footerReference w:type="default" r:id="rId2"/>
      <w:footerReference w:type="first" r:id="rId3"/>
      <w:footnotePr>
        <w:numFmt w:val="decimal"/>
        <w:numRestart w:val="eachPage"/>
      </w:footnotePr>
      <w:type w:val="nextPage"/>
      <w:pgSz w:w="11906" w:h="16838"/>
      <w:pgMar w:left="1417" w:right="1417" w:gutter="0" w:header="0" w:top="1417" w:footer="709" w:bottom="1417"/>
      <w:pgNumType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Segoe UI">
    <w:charset w:val="ee"/>
    <w:family w:val="roman"/>
    <w:pitch w:val="variable"/>
  </w:font>
  <w:font w:name="Liberation Sans">
    <w:altName w:val="Arial"/>
    <w:charset w:val="ee"/>
    <w:family w:val="roman"/>
    <w:pitch w:val="variable"/>
  </w:font>
  <w:font w:name="Times New Roman">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68071566"/>
    </w:sdtPr>
    <w:sdtContent>
      <w:p>
        <w:pPr>
          <w:pStyle w:val="Footer"/>
          <w:jc w:val="center"/>
          <w:rPr>
            <w:rFonts w:ascii="Times New Roman" w:hAnsi="Times New Roman" w:cs="Times New Roman"/>
            <w:sz w:val="24"/>
          </w:rPr>
        </w:pPr>
        <w:r>
          <w:rPr>
            <w:rFonts w:cs="Times New Roman" w:ascii="Times New Roman" w:hAnsi="Times New Roman"/>
            <w:sz w:val="24"/>
          </w:rPr>
          <w:fldChar w:fldCharType="begin"/>
        </w:r>
        <w:r>
          <w:rPr>
            <w:sz w:val="24"/>
            <w:rFonts w:cs="Times New Roman" w:ascii="Times New Roman" w:hAnsi="Times New Roman"/>
          </w:rPr>
          <w:instrText xml:space="preserve"> PAGE </w:instrText>
        </w:r>
        <w:r>
          <w:rPr>
            <w:sz w:val="24"/>
            <w:rFonts w:cs="Times New Roman" w:ascii="Times New Roman" w:hAnsi="Times New Roman"/>
          </w:rPr>
          <w:fldChar w:fldCharType="separate"/>
        </w:r>
        <w:r>
          <w:rPr>
            <w:sz w:val="24"/>
            <w:rFonts w:cs="Times New Roman" w:ascii="Times New Roman" w:hAnsi="Times New Roman"/>
          </w:rPr>
          <w:t>14</w:t>
        </w:r>
        <w:r>
          <w:rPr>
            <w:sz w:val="24"/>
            <w:rFonts w:cs="Times New Roman" w:ascii="Times New Roman" w:hAnsi="Times New Roman"/>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ind w:hanging="284" w:left="284"/>
        <w:jc w:val="both"/>
        <w:rPr>
          <w:rFonts w:ascii="Times New Roman" w:hAnsi="Times New Roman"/>
          <w:sz w:val="18"/>
          <w:szCs w:val="18"/>
        </w:rPr>
      </w:pPr>
      <w:r>
        <w:rPr>
          <w:rStyle w:val="Znakiprzypiswdolnych"/>
        </w:rPr>
        <w:t>1)</w:t>
      </w:r>
      <w:r>
        <w:rPr>
          <w:rStyle w:val="Znakiprzypiswdolnych"/>
        </w:rPr>
        <w:tab/>
        <w:t>1)1)1)1)1)1)1)1)1)1)</w:t>
      </w:r>
      <w:r>
        <w:rPr>
          <w:rStyle w:val="Znakiprzypiswdolnych"/>
          <w:rFonts w:ascii="Times New Roman" w:hAnsi="Times New Roman"/>
          <w:sz w:val="18"/>
          <w:szCs w:val="18"/>
        </w:rPr>
        <w:t>1)</w:t>
      </w:r>
      <w:r>
        <w:rPr>
          <w:rFonts w:ascii="Times New Roman" w:hAnsi="Times New Roman"/>
          <w:sz w:val="18"/>
          <w:szCs w:val="18"/>
        </w:rPr>
        <w:t>Jeżeli działka nie posiada adresu, należy opisowo określić jej położenie.</w:t>
      </w:r>
    </w:p>
  </w:footnote>
  <w:footnote w:id="3">
    <w:p>
      <w:pPr>
        <w:pStyle w:val="FootnoteText"/>
        <w:ind w:hanging="284" w:left="284"/>
        <w:jc w:val="both"/>
        <w:rPr>
          <w:rFonts w:ascii="Times New Roman" w:hAnsi="Times New Roman" w:cs="Times New Roman"/>
          <w:sz w:val="18"/>
          <w:szCs w:val="18"/>
        </w:rPr>
      </w:pPr>
      <w:r>
        <w:rPr>
          <w:rStyle w:val="Znakiprzypiswdolnych"/>
        </w:rPr>
        <w:t>2)</w:t>
      </w:r>
      <w:r>
        <w:rPr>
          <w:rStyle w:val="Znakiprzypiswdolnych"/>
        </w:rPr>
        <w:tab/>
        <w:t>2)2)2)2)2)2)2)2)2)2)</w:t>
      </w:r>
      <w:r>
        <w:rPr>
          <w:rStyle w:val="Znakiprzypiswdolnych"/>
          <w:rFonts w:ascii="Times New Roman" w:hAnsi="Times New Roman"/>
          <w:sz w:val="18"/>
          <w:szCs w:val="18"/>
        </w:rPr>
        <w:t>2)</w:t>
      </w:r>
      <w:r>
        <w:rPr>
          <w:rFonts w:cs="Times New Roman" w:ascii="Times New Roman" w:hAnsi="Times New Roman"/>
          <w:sz w:val="18"/>
          <w:szCs w:val="18"/>
        </w:rPr>
        <w:t>W szczególności imię i nazwisko albo firma właściciela lub użytkownika wieczystego oraz istniejące obciążenia na nieruchomości.</w:t>
      </w:r>
    </w:p>
  </w:footnote>
  <w:footnote w:id="4">
    <w:p>
      <w:pPr>
        <w:pStyle w:val="FootnoteText"/>
        <w:ind w:hanging="284" w:left="284"/>
        <w:jc w:val="both"/>
        <w:rPr>
          <w:rFonts w:ascii="Times New Roman" w:hAnsi="Times New Roman" w:cs="Times New Roman"/>
          <w:sz w:val="18"/>
          <w:szCs w:val="18"/>
        </w:rPr>
      </w:pPr>
      <w:r>
        <w:rPr>
          <w:rStyle w:val="Znakiprzypiswdolnych"/>
        </w:rPr>
        <w:t>3)</w:t>
      </w:r>
      <w:r>
        <w:rPr>
          <w:rStyle w:val="Znakiprzypiswdolnych"/>
        </w:rPr>
        <w:tab/>
        <w:t>3)3)3)3)3)3)3)3)3)3)</w:t>
      </w:r>
      <w:r>
        <w:rPr>
          <w:rStyle w:val="Znakiprzypiswdolnych"/>
          <w:rFonts w:ascii="Times New Roman" w:hAnsi="Times New Roman"/>
          <w:sz w:val="18"/>
          <w:szCs w:val="18"/>
        </w:rPr>
        <w:t>3)</w:t>
      </w:r>
      <w:r>
        <w:rPr>
          <w:rFonts w:cs="Times New Roman" w:ascii="Times New Roman" w:hAnsi="Times New Roman"/>
          <w:sz w:val="18"/>
          <w:szCs w:val="18"/>
        </w:rPr>
        <w:t>W szczególności obiekty generujące uciążliwości zapachowe, hałasowe, świetlne.</w:t>
      </w:r>
    </w:p>
  </w:footnote>
  <w:footnote w:id="5">
    <w:p>
      <w:pPr>
        <w:pStyle w:val="Normal"/>
        <w:spacing w:lineRule="auto" w:line="240" w:before="0" w:after="0"/>
        <w:ind w:hanging="284" w:left="284"/>
        <w:jc w:val="both"/>
        <w:rPr>
          <w:rFonts w:ascii="Times New Roman" w:hAnsi="Times New Roman" w:cs="Times New Roman"/>
          <w:sz w:val="18"/>
          <w:szCs w:val="18"/>
        </w:rPr>
      </w:pPr>
      <w:r>
        <w:rPr>
          <w:rStyle w:val="Znakiprzypiswdolnych"/>
        </w:rPr>
        <w:t>4)</w:t>
      </w:r>
      <w:r>
        <w:rPr>
          <w:rStyle w:val="Znakiprzypiswdolnych"/>
        </w:rPr>
        <w:tab/>
        <w:t>4)4)4)4)4)4)4)4)4)4)</w:t>
      </w:r>
      <w:r>
        <w:rPr>
          <w:rStyle w:val="Znakiprzypiswdolnych"/>
          <w:rFonts w:ascii="Times New Roman" w:hAnsi="Times New Roman"/>
          <w:sz w:val="18"/>
          <w:szCs w:val="18"/>
        </w:rPr>
        <w:t>4)</w:t>
      </w:r>
      <w:r>
        <w:rPr>
          <w:rFonts w:cs="Times New Roman" w:ascii="Times New Roman" w:hAnsi="Times New Roman"/>
          <w:sz w:val="18"/>
          <w:szCs w:val="18"/>
        </w:rPr>
        <w:t>Akty prawne (rozporządzenia, zarządzenia, uchwały) w sprawie:</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dokonania rezerwacji obszaru inwestycji (CPK),</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lokalizacji inwestycji mieszkaniowej lub inwestycji towarzyszącej,</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ustanowienia form ochrony przyrody lub ich otulin (parku narodowego, rezerwatu przyrody, parku krajobrazowego, obszaru chronionego krajobrazu, obszaru Natura 2000, pomnika przyrody, stanowiska dokumentacyjnego, użytku ekologicznego, zespołu przyrodniczo-krajobrazowego, ochrony gatunkowej roślin, zwierząt i grzybów),</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ustanowienia strefy ochronnej terenu ochrony bezpośredniej i terenu ochrony pośredniej ujęcia wody,</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wyznaczenia obszarów cichych w aglomeracji lub obszarów cichych poza aglomeracją,</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utworzenia obszaru ograniczonego użytkowania,</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uznania zabytku za pomnik historii,</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określenia granic obszaru Pomnika Zagłady i jego strefy ochronnej, utworzenia parku kulturowego,</w:t>
      </w:r>
    </w:p>
    <w:p>
      <w:pPr>
        <w:pStyle w:val="ListParagraph"/>
        <w:widowControl/>
        <w:numPr>
          <w:ilvl w:val="0"/>
          <w:numId w:val="5"/>
        </w:numPr>
        <w:spacing w:lineRule="auto" w:line="240"/>
        <w:ind w:hanging="283" w:left="567"/>
        <w:jc w:val="both"/>
        <w:rPr>
          <w:rFonts w:cs="Times New Roman"/>
          <w:sz w:val="18"/>
          <w:szCs w:val="18"/>
        </w:rPr>
      </w:pPr>
      <w:r>
        <w:rPr>
          <w:rFonts w:cs="Times New Roman"/>
          <w:sz w:val="18"/>
          <w:szCs w:val="18"/>
        </w:rPr>
        <w:t>ustalenia zasad i warunków sytuowania obiektów małej architektury, tablic reklamowych i urządzeń reklamowych oraz ogrodzeń, ich gabarytów, standardów jakościowych oraz rodzajów materiałów budowlanych.</w:t>
      </w:r>
    </w:p>
  </w:footnote>
  <w:footnote w:id="6">
    <w:p>
      <w:pPr>
        <w:pStyle w:val="FootnoteText"/>
        <w:rPr>
          <w:rFonts w:ascii="Times New Roman" w:hAnsi="Times New Roman"/>
          <w:sz w:val="18"/>
          <w:szCs w:val="18"/>
        </w:rPr>
      </w:pPr>
      <w:r>
        <w:rPr>
          <w:rStyle w:val="Znakiprzypiswdolnych"/>
        </w:rPr>
        <w:t>*</w:t>
      </w:r>
      <w:r>
        <w:rPr>
          <w:rStyle w:val="Znakiprzypiswdolnych"/>
        </w:rPr>
        <w:t>***********</w:t>
      </w:r>
      <w:r>
        <w:rPr/>
        <w:t xml:space="preserve"> </w:t>
      </w:r>
      <w:r>
        <w:rPr>
          <w:rFonts w:ascii="Times New Roman" w:hAnsi="Times New Roman"/>
          <w:sz w:val="18"/>
          <w:szCs w:val="18"/>
        </w:rPr>
        <w:t>W przypadku braku miejscowego planu zagospodarowania przestrzennego umieszcza się informację „Brak planu”.</w:t>
      </w:r>
    </w:p>
  </w:footnote>
  <w:footnote w:id="7">
    <w:p>
      <w:pPr>
        <w:pStyle w:val="FootnoteText"/>
        <w:ind w:hanging="284" w:left="284"/>
        <w:jc w:val="both"/>
        <w:rPr>
          <w:rFonts w:ascii="Times New Roman" w:hAnsi="Times New Roman"/>
          <w:sz w:val="18"/>
          <w:szCs w:val="18"/>
        </w:rPr>
      </w:pPr>
      <w:r>
        <w:rPr>
          <w:rStyle w:val="Znakiprzypiswdolnych"/>
        </w:rPr>
        <w:t>5)</w:t>
      </w:r>
      <w:r>
        <w:rPr>
          <w:rStyle w:val="Znakiprzypiswdolnych"/>
        </w:rPr>
        <w:tab/>
        <w:t>5)5)5)5)5)5)5)5)5)5)</w:t>
      </w:r>
      <w:r>
        <w:rPr>
          <w:rStyle w:val="Znakiprzypiswdolnych"/>
          <w:rFonts w:ascii="Times New Roman" w:hAnsi="Times New Roman"/>
          <w:sz w:val="18"/>
          <w:szCs w:val="18"/>
        </w:rPr>
        <w:t>5)</w:t>
      </w:r>
      <w:r>
        <w:rPr>
          <w:rFonts w:ascii="Times New Roman" w:hAnsi="Times New Roman"/>
          <w:sz w:val="18"/>
          <w:szCs w:val="18"/>
        </w:rPr>
        <w:t>Wskazane inwestycje dotyczą w szczególności budowy lub rozbudowy dróg, budowy linii szynowych oraz przewidzianych korytarzy powietrznych, inwestycji komunalnych, takich jak: oczyszczalnie ścieków, spalarnie śmieci, wysypiska, cmentarze.</w:t>
      </w:r>
    </w:p>
  </w:footnote>
  <w:footnote w:id="8">
    <w:p>
      <w:pPr>
        <w:pStyle w:val="FootnoteText"/>
        <w:rPr>
          <w:rFonts w:ascii="Times New Roman" w:hAnsi="Times New Roman"/>
          <w:sz w:val="18"/>
          <w:szCs w:val="18"/>
        </w:rPr>
      </w:pPr>
      <w:r>
        <w:rPr>
          <w:rStyle w:val="Znakiprzypiswdolnych"/>
        </w:rPr>
        <w:t>*</w:t>
      </w:r>
      <w:r>
        <w:rPr>
          <w:rStyle w:val="Znakiprzypiswdolnych"/>
        </w:rPr>
        <w:t>**********</w:t>
      </w:r>
      <w:r>
        <w:rPr>
          <w:rStyle w:val="Znakiprzypiswdolnych"/>
          <w:rFonts w:ascii="Times New Roman" w:hAnsi="Times New Roman"/>
          <w:sz w:val="18"/>
          <w:szCs w:val="18"/>
        </w:rPr>
        <w:t>*</w:t>
      </w:r>
      <w:r>
        <w:rPr>
          <w:rFonts w:ascii="Times New Roman" w:hAnsi="Times New Roman"/>
          <w:sz w:val="18"/>
          <w:szCs w:val="18"/>
        </w:rPr>
        <w:t xml:space="preserve"> Niepotrzebne skreślić.</w:t>
      </w:r>
    </w:p>
  </w:footnote>
  <w:footnote w:id="9">
    <w:p>
      <w:pPr>
        <w:pStyle w:val="FootnoteText"/>
        <w:ind w:hanging="284" w:left="284"/>
        <w:jc w:val="both"/>
        <w:rPr>
          <w:rFonts w:ascii="Times New Roman" w:hAnsi="Times New Roman"/>
          <w:sz w:val="18"/>
          <w:szCs w:val="18"/>
        </w:rPr>
      </w:pPr>
      <w:r>
        <w:rPr>
          <w:rStyle w:val="Znakiprzypiswdolnych"/>
        </w:rPr>
        <w:t>6)</w:t>
      </w:r>
      <w:r>
        <w:rPr>
          <w:rStyle w:val="Znakiprzypiswdolnych"/>
        </w:rPr>
        <w:tab/>
        <w:t>6)6)6)6)6)6)6)6)6)6)</w:t>
      </w:r>
      <w:r>
        <w:rPr>
          <w:rStyle w:val="Znakiprzypiswdolnych"/>
          <w:rFonts w:ascii="Times New Roman" w:hAnsi="Times New Roman"/>
          <w:sz w:val="18"/>
          <w:szCs w:val="18"/>
        </w:rPr>
        <w:t>6)</w:t>
      </w:r>
      <w:r>
        <w:rPr>
          <w:rFonts w:ascii="Times New Roman" w:hAnsi="Times New Roman"/>
          <w:b w:val="false"/>
          <w:bCs w:val="false"/>
          <w:sz w:val="18"/>
          <w:szCs w:val="18"/>
        </w:rPr>
        <w:t xml:space="preserve">Zgodnie z ustawą </w:t>
      </w:r>
      <w:r>
        <w:rPr>
          <w:rFonts w:eastAsia="Times New Roman" w:ascii="Times New Roman" w:hAnsi="Times New Roman"/>
          <w:b w:val="false"/>
          <w:bCs w:val="false"/>
          <w:sz w:val="20"/>
          <w:szCs w:val="20"/>
        </w:rPr>
        <w:t>Składki na Fundusz (art. 49 Ustawy)</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left"/>
      <w:pPr>
        <w:tabs>
          <w:tab w:val="num" w:pos="1080"/>
        </w:tabs>
        <w:ind w:left="108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3"/>
      <w:numFmt w:val="upperRoman"/>
      <w:lvlText w:val="%1."/>
      <w:lvlJc w:val="left"/>
      <w:pPr>
        <w:tabs>
          <w:tab w:val="num" w:pos="1080"/>
        </w:tabs>
        <w:ind w:left="108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decimal"/>
      <w:lvlText w:val="%1)"/>
      <w:lvlJc w:val="left"/>
      <w:pPr>
        <w:tabs>
          <w:tab w:val="num" w:pos="0"/>
        </w:tabs>
        <w:ind w:left="765" w:hanging="405"/>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20"/>
  <w:defaultTabStop w:val="708"/>
  <w:autoHyphenation w:val="true"/>
  <w:footnotePr>
    <w:numFmt w:val="decimal"/>
    <w:numRestart w:val="eachPage"/>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Heading1">
    <w:name w:val="Heading 1"/>
    <w:basedOn w:val="Normal"/>
    <w:next w:val="Normal"/>
    <w:link w:val="Nagwek1Znak"/>
    <w:uiPriority w:val="9"/>
    <w:qFormat/>
    <w:rsid w:val="00fc693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Nagwek2Znak"/>
    <w:uiPriority w:val="9"/>
    <w:unhideWhenUsed/>
    <w:qFormat/>
    <w:rsid w:val="00fc693f"/>
    <w:pPr>
      <w:keepNext w:val="true"/>
      <w:keepLines/>
      <w:spacing w:before="200" w:after="0"/>
      <w:outlineLvl w:val="1"/>
    </w:pPr>
    <w:rPr>
      <w:rFonts w:ascii="Calibri Light" w:hAnsi="Calibri Light" w:eastAsia="" w:cs="" w:asciiTheme="majorHAnsi" w:cstheme="majorBidi" w:eastAsiaTheme="majorEastAsia" w:hAnsiTheme="majorHAnsi"/>
      <w:b/>
      <w:bCs/>
      <w:color w:themeColor="accent1" w:val="4F81BD"/>
      <w:sz w:val="26"/>
      <w:szCs w:val="26"/>
    </w:rPr>
  </w:style>
  <w:style w:type="character" w:styleId="DefaultParagraphFont" w:default="1">
    <w:name w:val="Default Paragraph Font"/>
    <w:uiPriority w:val="1"/>
    <w:unhideWhenUsed/>
    <w:qFormat/>
    <w:rPr/>
  </w:style>
  <w:style w:type="character" w:styleId="NagwekZnak" w:customStyle="1">
    <w:name w:val="Nagłówek Znak"/>
    <w:basedOn w:val="DefaultParagraphFont"/>
    <w:uiPriority w:val="99"/>
    <w:qFormat/>
    <w:rsid w:val="00ea1c22"/>
    <w:rPr/>
  </w:style>
  <w:style w:type="character" w:styleId="TekstprzypisudolnegoZnak" w:customStyle="1">
    <w:name w:val="Tekst przypisu dolnego Znak"/>
    <w:basedOn w:val="DefaultParagraphFont"/>
    <w:uiPriority w:val="99"/>
    <w:semiHidden/>
    <w:qFormat/>
    <w:rsid w:val="00ea1c22"/>
    <w:rPr>
      <w:sz w:val="20"/>
      <w:szCs w:val="20"/>
    </w:rPr>
  </w:style>
  <w:style w:type="character" w:styleId="Znakiprzypiswdolnych">
    <w:name w:val="Znaki przypisów dolnych"/>
    <w:uiPriority w:val="99"/>
    <w:semiHidden/>
    <w:qFormat/>
    <w:rsid w:val="00ea1c22"/>
    <w:rPr>
      <w:rFonts w:cs="Times New Roman"/>
      <w:vertAlign w:val="superscript"/>
    </w:rPr>
  </w:style>
  <w:style w:type="character" w:styleId="FootnoteReference">
    <w:name w:val="Footnote Reference"/>
    <w:rPr>
      <w:rFonts w:cs="Times New Roman"/>
      <w:vertAlign w:val="superscript"/>
    </w:rPr>
  </w:style>
  <w:style w:type="character" w:styleId="StopkaZnak" w:customStyle="1">
    <w:name w:val="Stopka Znak"/>
    <w:basedOn w:val="DefaultParagraphFont"/>
    <w:uiPriority w:val="99"/>
    <w:qFormat/>
    <w:rsid w:val="00ea1c22"/>
    <w:rPr/>
  </w:style>
  <w:style w:type="character" w:styleId="TekstdymkaZnak" w:customStyle="1">
    <w:name w:val="Tekst dymka Znak"/>
    <w:basedOn w:val="DefaultParagraphFont"/>
    <w:link w:val="BalloonText"/>
    <w:uiPriority w:val="99"/>
    <w:semiHidden/>
    <w:qFormat/>
    <w:rsid w:val="007e3e4d"/>
    <w:rPr>
      <w:rFonts w:ascii="Segoe UI" w:hAnsi="Segoe UI" w:cs="Segoe UI"/>
      <w:sz w:val="18"/>
      <w:szCs w:val="18"/>
    </w:rPr>
  </w:style>
  <w:style w:type="character" w:styleId="Hyperlink">
    <w:name w:val="Hyperlink"/>
    <w:basedOn w:val="DefaultParagraphFont"/>
    <w:uiPriority w:val="99"/>
    <w:unhideWhenUsed/>
    <w:rsid w:val="004c037a"/>
    <w:rPr>
      <w:color w:themeColor="hyperlink" w:val="0563C1"/>
      <w:u w:val="single"/>
    </w:rPr>
  </w:style>
  <w:style w:type="character" w:styleId="UnresolvedMention">
    <w:name w:val="Unresolved Mention"/>
    <w:basedOn w:val="DefaultParagraphFont"/>
    <w:uiPriority w:val="99"/>
    <w:semiHidden/>
    <w:unhideWhenUsed/>
    <w:qFormat/>
    <w:rsid w:val="004c037a"/>
    <w:rPr>
      <w:color w:val="605E5C"/>
      <w:shd w:fill="E1DFDD" w:val="clear"/>
    </w:rPr>
  </w:style>
  <w:style w:type="character" w:styleId="Nagwek1Znak" w:customStyle="1">
    <w:name w:val="Nagłówek 1 Znak"/>
    <w:basedOn w:val="DefaultParagraphFont"/>
    <w:uiPriority w:val="9"/>
    <w:qFormat/>
    <w:rsid w:val="00fc693f"/>
    <w:rPr>
      <w:rFonts w:ascii="Calibri Light" w:hAnsi="Calibri Light" w:eastAsia="" w:cs="" w:asciiTheme="majorHAnsi" w:cstheme="majorBidi" w:eastAsiaTheme="majorEastAsia" w:hAnsiTheme="majorHAnsi"/>
      <w:b/>
      <w:bCs/>
      <w:color w:themeColor="accent1" w:themeShade="bf" w:val="365F91"/>
      <w:sz w:val="28"/>
      <w:szCs w:val="28"/>
    </w:rPr>
  </w:style>
  <w:style w:type="character" w:styleId="Nagwek2Znak" w:customStyle="1">
    <w:name w:val="Nagłówek 2 Znak"/>
    <w:basedOn w:val="DefaultParagraphFont"/>
    <w:uiPriority w:val="9"/>
    <w:qFormat/>
    <w:rsid w:val="00fc693f"/>
    <w:rPr>
      <w:rFonts w:ascii="Calibri Light" w:hAnsi="Calibri Light" w:eastAsia="" w:cs="" w:asciiTheme="majorHAnsi" w:cstheme="majorBidi" w:eastAsiaTheme="majorEastAsia" w:hAnsiTheme="majorHAnsi"/>
      <w:b/>
      <w:bCs/>
      <w:color w:themeColor="accent1" w:val="4F81BD"/>
      <w:sz w:val="26"/>
      <w:szCs w:val="26"/>
    </w:rPr>
  </w:style>
  <w:style w:type="character" w:styleId="Znakiprzypiswkocowych">
    <w:name w:val="Znaki przypisów końcowych"/>
    <w:qFormat/>
    <w:rPr>
      <w:vertAlign w:val="superscript"/>
    </w:rPr>
  </w:style>
  <w:style w:type="character" w:styleId="EndnoteReference">
    <w:name w:val="Endnote Reference"/>
    <w:rPr>
      <w:vertAlign w:val="superscript"/>
    </w:rPr>
  </w:style>
  <w:style w:type="paragraph" w:styleId="Nagwek">
    <w:name w:val="Nagłówek"/>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ks">
    <w:name w:val="Indeks"/>
    <w:basedOn w:val="Normal"/>
    <w:qFormat/>
    <w:pPr>
      <w:suppressLineNumbers/>
    </w:pPr>
    <w:rPr>
      <w:rFonts w:cs="Arial Unicode MS"/>
    </w:rPr>
  </w:style>
  <w:style w:type="paragraph" w:styleId="Gwkaistopka">
    <w:name w:val="Główka i stopka"/>
    <w:basedOn w:val="Normal"/>
    <w:qFormat/>
    <w:pPr/>
    <w:rPr/>
  </w:style>
  <w:style w:type="paragraph" w:styleId="Header">
    <w:name w:val="Header"/>
    <w:basedOn w:val="Normal"/>
    <w:link w:val="NagwekZnak"/>
    <w:uiPriority w:val="99"/>
    <w:unhideWhenUsed/>
    <w:rsid w:val="00ea1c22"/>
    <w:pPr>
      <w:tabs>
        <w:tab w:val="clear" w:pos="708"/>
        <w:tab w:val="center" w:pos="4536" w:leader="none"/>
        <w:tab w:val="right" w:pos="9072" w:leader="none"/>
      </w:tabs>
      <w:spacing w:lineRule="auto" w:line="240" w:before="0" w:after="0"/>
    </w:pPr>
    <w:rPr/>
  </w:style>
  <w:style w:type="paragraph" w:styleId="FootnoteText">
    <w:name w:val="Footnote Text"/>
    <w:basedOn w:val="Normal"/>
    <w:link w:val="TekstprzypisudolnegoZnak"/>
    <w:uiPriority w:val="99"/>
    <w:semiHidden/>
    <w:unhideWhenUsed/>
    <w:rsid w:val="00ea1c22"/>
    <w:pPr>
      <w:spacing w:lineRule="auto" w:line="240" w:before="0" w:after="0"/>
    </w:pPr>
    <w:rPr>
      <w:sz w:val="20"/>
      <w:szCs w:val="20"/>
    </w:rPr>
  </w:style>
  <w:style w:type="paragraph" w:styleId="ListParagraph">
    <w:name w:val="List Paragraph"/>
    <w:basedOn w:val="Normal"/>
    <w:uiPriority w:val="34"/>
    <w:qFormat/>
    <w:rsid w:val="00ea1c22"/>
    <w:pPr>
      <w:widowControl w:val="false"/>
      <w:spacing w:lineRule="auto" w:line="360" w:before="0" w:after="0"/>
      <w:ind w:left="720"/>
      <w:contextualSpacing/>
    </w:pPr>
    <w:rPr>
      <w:rFonts w:ascii="Times New Roman" w:hAnsi="Times New Roman" w:eastAsia="Times New Roman" w:cs="Arial"/>
      <w:sz w:val="24"/>
      <w:szCs w:val="20"/>
      <w:lang w:eastAsia="pl-PL"/>
    </w:rPr>
  </w:style>
  <w:style w:type="paragraph" w:styleId="Footer">
    <w:name w:val="Footer"/>
    <w:basedOn w:val="Normal"/>
    <w:link w:val="StopkaZnak"/>
    <w:uiPriority w:val="99"/>
    <w:unhideWhenUsed/>
    <w:rsid w:val="00ea1c22"/>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unhideWhenUsed/>
    <w:qFormat/>
    <w:rsid w:val="007e3e4d"/>
    <w:pPr>
      <w:spacing w:lineRule="auto" w:line="240" w:before="0" w:after="0"/>
    </w:pPr>
    <w:rPr>
      <w:rFonts w:ascii="Segoe UI" w:hAnsi="Segoe UI" w:cs="Segoe UI"/>
      <w:sz w:val="18"/>
      <w:szCs w:val="18"/>
    </w:rPr>
  </w:style>
  <w:style w:type="paragraph" w:styleId="Revision">
    <w:name w:val="Revision"/>
    <w:uiPriority w:val="99"/>
    <w:semiHidden/>
    <w:qFormat/>
    <w:rsid w:val="00f15b2e"/>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ListBullet">
    <w:name w:val="List Bullet"/>
    <w:basedOn w:val="Normal"/>
    <w:uiPriority w:val="99"/>
    <w:unhideWhenUsed/>
    <w:rsid w:val="00326f90"/>
    <w:pPr>
      <w:numPr>
        <w:ilvl w:val="0"/>
        <w:numId w:val="7"/>
      </w:numPr>
      <w:spacing w:before="0" w:after="160"/>
      <w:contextualSpacing/>
    </w:pPr>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ela-Siatka111">
    <w:name w:val="Tabela - Siatka111"/>
    <w:basedOn w:val="Standardowy"/>
    <w:rsid w:val="00ea1c22"/>
    <w:pPr>
      <w:spacing w:after="0" w:line="240" w:lineRule="auto"/>
    </w:pPr>
    <w:rPr>
      <w:lang w:eastAsia="pl-P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Siatka">
    <w:name w:val="Table Grid"/>
    <w:basedOn w:val="Standardowy"/>
    <w:uiPriority w:val="39"/>
    <w:rsid w:val="00ea1c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5BD56-C7A4-4677-9CAA-54F3D393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Application>LibreOffice/7.6.2.1$Windows_X86_64 LibreOffice_project/56f7684011345957bbf33a7ee678afaf4d2ba333</Application>
  <AppVersion>15.0000</AppVersion>
  <Pages>14</Pages>
  <Words>3219</Words>
  <Characters>22068</Characters>
  <CharactersWithSpaces>24977</CharactersWithSpaces>
  <Paragraphs>317</Paragraphs>
  <Company>Kancelaria Prezesa Rady Ministrow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2025-10-13T14:41:00Z</dcterms:created>
  <dc:creator>Pietrzak Ewa</dc:creator>
  <dc:description/>
  <dc:language>pl-PL</dc:language>
  <cp:lastModifiedBy/>
  <dcterms:modified xsi:type="dcterms:W3CDTF">2026-08-20T10:00:52Z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